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rawings/drawing1.xml" ContentType="application/vnd.openxmlformats-officedocument.drawingml.chartshap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0120" w:rsidRPr="00B73E97" w:rsidRDefault="00784855" w:rsidP="00D62E87">
      <w:pPr>
        <w:spacing w:after="240" w:line="240" w:lineRule="auto"/>
        <w:jc w:val="center"/>
        <w:rPr>
          <w:rFonts w:ascii="Sylfaen" w:hAnsi="Sylfaen"/>
          <w:b/>
          <w:sz w:val="28"/>
          <w:lang w:val="ka-GE"/>
        </w:rPr>
      </w:pPr>
      <w:r w:rsidRPr="00B73E97">
        <w:rPr>
          <w:rFonts w:ascii="Sylfaen" w:hAnsi="Sylfaen"/>
          <w:b/>
          <w:sz w:val="28"/>
          <w:lang w:val="ka-GE"/>
        </w:rPr>
        <w:t>მთავრობის</w:t>
      </w:r>
      <w:r w:rsidR="005A44F5" w:rsidRPr="00B73E97">
        <w:rPr>
          <w:rFonts w:ascii="Sylfaen" w:hAnsi="Sylfaen"/>
          <w:b/>
          <w:sz w:val="28"/>
          <w:lang w:val="ka-GE"/>
        </w:rPr>
        <w:t xml:space="preserve"> ვალი</w:t>
      </w:r>
    </w:p>
    <w:p w:rsidR="00C50CA0" w:rsidRDefault="00CC46C4" w:rsidP="00C50CA0">
      <w:pPr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B73E97">
        <w:rPr>
          <w:rFonts w:ascii="Sylfaen" w:hAnsi="Sylfaen" w:cs="Sylfaen"/>
          <w:sz w:val="24"/>
          <w:szCs w:val="18"/>
          <w:shd w:val="clear" w:color="auto" w:fill="FFFFFF"/>
        </w:rPr>
        <w:tab/>
      </w:r>
      <w:r w:rsidR="000413CE" w:rsidRPr="00B73E97">
        <w:rPr>
          <w:rFonts w:ascii="Sylfaen" w:hAnsi="Sylfaen"/>
          <w:szCs w:val="21"/>
          <w:shd w:val="clear" w:color="auto" w:fill="FFFFFF"/>
          <w:lang w:val="ka-GE"/>
        </w:rPr>
        <w:t>„ეკონომიკური თავისუფლების შესახებ“ საქართველოს ორგანული კანონის შესაბამისად</w:t>
      </w:r>
      <w:r w:rsidR="000413CE" w:rsidRPr="00B73E97">
        <w:rPr>
          <w:rFonts w:ascii="Sylfaen" w:hAnsi="Sylfaen" w:cs="Sylfaen"/>
          <w:sz w:val="24"/>
          <w:szCs w:val="18"/>
          <w:shd w:val="clear" w:color="auto" w:fill="FFFFFF"/>
          <w:lang w:val="ka-GE"/>
        </w:rPr>
        <w:t xml:space="preserve"> </w:t>
      </w:r>
      <w:r w:rsidR="000A1240" w:rsidRPr="003A07F4">
        <w:rPr>
          <w:rFonts w:ascii="Sylfaen" w:hAnsi="Sylfaen"/>
          <w:szCs w:val="21"/>
          <w:shd w:val="clear" w:color="auto" w:fill="FFFFFF"/>
          <w:lang w:val="ka-GE"/>
        </w:rPr>
        <w:t xml:space="preserve">განსაზღვრული </w:t>
      </w:r>
      <w:r w:rsidR="000369D7" w:rsidRPr="003A07F4">
        <w:rPr>
          <w:rFonts w:ascii="Sylfaen" w:hAnsi="Sylfaen"/>
          <w:szCs w:val="21"/>
          <w:shd w:val="clear" w:color="auto" w:fill="FFFFFF"/>
          <w:lang w:val="ka-GE"/>
        </w:rPr>
        <w:t>ლიმიტის</w:t>
      </w:r>
      <w:r w:rsidR="000369D7" w:rsidRPr="000369D7">
        <w:rPr>
          <w:rFonts w:ascii="Sylfaen" w:hAnsi="Sylfaen" w:cs="Sylfaen"/>
          <w:szCs w:val="18"/>
          <w:shd w:val="clear" w:color="auto" w:fill="FFFFFF"/>
          <w:lang w:val="ka-GE"/>
        </w:rPr>
        <w:t xml:space="preserve"> ფარგლებში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B73E97">
        <w:rPr>
          <w:rFonts w:ascii="Sylfaen" w:hAnsi="Sylfaen" w:cs="Sylfaen"/>
          <w:szCs w:val="21"/>
          <w:shd w:val="clear" w:color="auto" w:fill="FFFFFF"/>
          <w:lang w:val="ka-GE"/>
        </w:rPr>
        <w:t>ვალის ნაშთი</w:t>
      </w:r>
      <w:r w:rsidR="000369D7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</w:t>
      </w:r>
      <w:r w:rsidR="000369D7" w:rsidRPr="000369D7">
        <w:rPr>
          <w:rFonts w:ascii="Sylfaen" w:hAnsi="Sylfaen" w:cs="Sylfaen"/>
          <w:szCs w:val="21"/>
          <w:shd w:val="clear" w:color="auto" w:fill="FFFFFF"/>
          <w:lang w:val="ka-GE"/>
        </w:rPr>
        <w:t>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</w:t>
      </w:r>
      <w:r w:rsidR="000369D7">
        <w:rPr>
          <w:rFonts w:ascii="Sylfaen" w:hAnsi="Sylfaen" w:cs="Sylfaen"/>
          <w:szCs w:val="21"/>
          <w:shd w:val="clear" w:color="auto" w:fill="FFFFFF"/>
          <w:lang w:val="ka-GE"/>
        </w:rPr>
        <w:t xml:space="preserve">ის ჯამი </w:t>
      </w:r>
      <w:r w:rsidR="009B63F3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34625" w:rsidRPr="00B73E97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4F2417">
        <w:rPr>
          <w:rFonts w:ascii="Sylfaen" w:hAnsi="Sylfaen" w:cs="Sylfaen"/>
          <w:szCs w:val="21"/>
          <w:shd w:val="clear" w:color="auto" w:fill="FFFFFF"/>
          <w:lang w:val="ka-GE"/>
        </w:rPr>
        <w:t>21</w:t>
      </w:r>
      <w:r w:rsidR="00434625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წლის </w:t>
      </w:r>
      <w:r w:rsidR="007350CD" w:rsidRPr="00B73E97">
        <w:rPr>
          <w:rFonts w:ascii="Sylfaen" w:hAnsi="Sylfaen" w:cs="Sylfaen"/>
          <w:szCs w:val="21"/>
          <w:shd w:val="clear" w:color="auto" w:fill="FFFFFF"/>
        </w:rPr>
        <w:t>31</w:t>
      </w:r>
      <w:r w:rsidR="00EB0EE9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1A4349">
        <w:rPr>
          <w:rFonts w:ascii="Sylfaen" w:hAnsi="Sylfaen" w:cs="Sylfaen"/>
          <w:szCs w:val="21"/>
          <w:shd w:val="clear" w:color="auto" w:fill="FFFFFF"/>
          <w:lang w:val="ka-GE"/>
        </w:rPr>
        <w:t>აგვისტოს</w:t>
      </w:r>
      <w:r w:rsidR="00434625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მდგომარეობით შეადგენს </w:t>
      </w:r>
      <w:r w:rsidR="001A4349">
        <w:rPr>
          <w:rFonts w:ascii="Sylfaen" w:hAnsi="Sylfaen" w:cs="Sylfaen"/>
          <w:szCs w:val="21"/>
          <w:shd w:val="clear" w:color="auto" w:fill="FFFFFF"/>
        </w:rPr>
        <w:t>29</w:t>
      </w:r>
      <w:r w:rsidR="008739E5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0369D7">
        <w:rPr>
          <w:rFonts w:ascii="Sylfaen" w:hAnsi="Sylfaen" w:cs="Sylfaen"/>
          <w:szCs w:val="21"/>
          <w:shd w:val="clear" w:color="auto" w:fill="FFFFFF"/>
          <w:lang w:val="ka-GE"/>
        </w:rPr>
        <w:t>4</w:t>
      </w:r>
      <w:r w:rsidR="00C90CBA">
        <w:rPr>
          <w:rFonts w:ascii="Sylfaen" w:hAnsi="Sylfaen" w:cs="Sylfaen"/>
          <w:szCs w:val="21"/>
          <w:shd w:val="clear" w:color="auto" w:fill="FFFFFF"/>
          <w:lang w:val="ka-GE"/>
        </w:rPr>
        <w:t>75</w:t>
      </w:r>
      <w:r w:rsidR="00421440" w:rsidRPr="00421440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C90CBA">
        <w:rPr>
          <w:rFonts w:ascii="Sylfaen" w:hAnsi="Sylfaen" w:cs="Sylfaen"/>
          <w:szCs w:val="21"/>
          <w:shd w:val="clear" w:color="auto" w:fill="FFFFFF"/>
          <w:lang w:val="ka-GE"/>
        </w:rPr>
        <w:t>2</w:t>
      </w:r>
      <w:r w:rsidR="000369D7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B63F3" w:rsidRPr="00B73E97">
        <w:rPr>
          <w:rFonts w:ascii="Sylfaen" w:hAnsi="Sylfaen" w:cs="Sylfaen"/>
          <w:szCs w:val="21"/>
          <w:shd w:val="clear" w:color="auto" w:fill="FFFFFF"/>
          <w:lang w:val="ka-GE"/>
        </w:rPr>
        <w:t>მლნ ლარს</w:t>
      </w:r>
      <w:r w:rsidR="003800EA">
        <w:rPr>
          <w:rFonts w:ascii="Sylfaen" w:hAnsi="Sylfaen" w:cs="Sylfaen"/>
          <w:szCs w:val="21"/>
          <w:shd w:val="clear" w:color="auto" w:fill="FFFFFF"/>
          <w:lang w:val="ka-GE"/>
        </w:rPr>
        <w:t>.</w:t>
      </w:r>
    </w:p>
    <w:p w:rsidR="009B63F3" w:rsidRDefault="003800EA" w:rsidP="00C50CA0">
      <w:pPr>
        <w:spacing w:after="0" w:line="240" w:lineRule="auto"/>
        <w:ind w:firstLine="720"/>
        <w:jc w:val="both"/>
        <w:rPr>
          <w:rFonts w:ascii="Sylfaen" w:hAnsi="Sylfaen"/>
          <w:szCs w:val="21"/>
          <w:shd w:val="clear" w:color="auto" w:fill="FFFFFF"/>
          <w:lang w:val="ka-GE"/>
        </w:rPr>
      </w:pPr>
      <w:r>
        <w:rPr>
          <w:rFonts w:ascii="Sylfaen" w:hAnsi="Sylfaen" w:cs="Sylfaen"/>
          <w:szCs w:val="21"/>
          <w:shd w:val="clear" w:color="auto" w:fill="FFFFFF"/>
          <w:lang w:val="ka-GE"/>
        </w:rPr>
        <w:t>ზემოხსენებული ჯამური ვალდებულება მოიცავს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396821" w:rsidRPr="00B73E97">
        <w:rPr>
          <w:rFonts w:ascii="Sylfaen" w:hAnsi="Sylfaen"/>
          <w:szCs w:val="21"/>
          <w:shd w:val="clear" w:color="auto" w:fill="FFFFFF"/>
          <w:lang w:val="ka-GE"/>
        </w:rPr>
        <w:t>„სახელმწიფო ვალის შესახებ“ საქართველოს კანონით გათვალისწინებულ სახელმწიფო ვალ</w:t>
      </w:r>
      <w:r>
        <w:rPr>
          <w:rFonts w:ascii="Sylfaen" w:hAnsi="Sylfaen"/>
          <w:szCs w:val="21"/>
          <w:shd w:val="clear" w:color="auto" w:fill="FFFFFF"/>
          <w:lang w:val="ka-GE"/>
        </w:rPr>
        <w:t>ს</w:t>
      </w:r>
      <w:r w:rsidR="00396821" w:rsidRPr="00B73E97">
        <w:rPr>
          <w:rFonts w:ascii="Sylfaen" w:hAnsi="Sylfaen"/>
          <w:szCs w:val="21"/>
          <w:shd w:val="clear" w:color="auto" w:fill="FFFFFF"/>
          <w:lang w:val="ka-GE"/>
        </w:rPr>
        <w:t xml:space="preserve">, გარდა საქართველოს ეროვნული ბანკის მიერ აღებული ვალდებულებებისა - </w:t>
      </w:r>
      <w:r w:rsidR="001A4349">
        <w:rPr>
          <w:rFonts w:ascii="Sylfaen" w:hAnsi="Sylfaen"/>
          <w:szCs w:val="21"/>
          <w:shd w:val="clear" w:color="auto" w:fill="FFFFFF"/>
        </w:rPr>
        <w:t>29</w:t>
      </w:r>
      <w:r w:rsidR="008739E5">
        <w:rPr>
          <w:rFonts w:ascii="Sylfaen" w:hAnsi="Sylfaen"/>
          <w:szCs w:val="21"/>
          <w:shd w:val="clear" w:color="auto" w:fill="FFFFFF"/>
        </w:rPr>
        <w:t xml:space="preserve"> </w:t>
      </w:r>
      <w:r w:rsidR="001A4349">
        <w:rPr>
          <w:rFonts w:ascii="Sylfaen" w:hAnsi="Sylfaen"/>
          <w:szCs w:val="21"/>
          <w:shd w:val="clear" w:color="auto" w:fill="FFFFFF"/>
        </w:rPr>
        <w:t>046</w:t>
      </w:r>
      <w:r w:rsidR="00EF0590">
        <w:rPr>
          <w:rFonts w:ascii="Sylfaen" w:hAnsi="Sylfaen"/>
          <w:szCs w:val="21"/>
          <w:shd w:val="clear" w:color="auto" w:fill="FFFFFF"/>
        </w:rPr>
        <w:t>.</w:t>
      </w:r>
      <w:r w:rsidR="001A4349">
        <w:rPr>
          <w:rFonts w:ascii="Sylfaen" w:hAnsi="Sylfaen"/>
          <w:szCs w:val="21"/>
          <w:shd w:val="clear" w:color="auto" w:fill="FFFFFF"/>
          <w:lang w:val="ka-GE"/>
        </w:rPr>
        <w:t>5</w:t>
      </w:r>
      <w:r w:rsidR="00396821" w:rsidRPr="00B73E97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</w:t>
      </w:r>
      <w:r w:rsidR="000E1BBD">
        <w:rPr>
          <w:rFonts w:ascii="Sylfaen" w:hAnsi="Sylfaen"/>
          <w:szCs w:val="21"/>
          <w:shd w:val="clear" w:color="auto" w:fill="FFFFFF"/>
          <w:lang w:val="ka-GE"/>
        </w:rPr>
        <w:t>,</w:t>
      </w:r>
      <w:r w:rsidR="00396821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396821"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87661E" w:rsidRPr="00B73E97">
        <w:rPr>
          <w:rFonts w:ascii="Sylfaen" w:hAnsi="Sylfaen"/>
          <w:szCs w:val="21"/>
          <w:shd w:val="clear" w:color="auto" w:fill="FFFFFF"/>
          <w:lang w:val="ka-GE"/>
        </w:rPr>
        <w:t>საბიუჯეტო ორგანიზაციების სესხ</w:t>
      </w:r>
      <w:r w:rsidR="00C50CA0">
        <w:rPr>
          <w:rFonts w:ascii="Sylfaen" w:hAnsi="Sylfaen"/>
          <w:szCs w:val="21"/>
          <w:shd w:val="clear" w:color="auto" w:fill="FFFFFF"/>
          <w:lang w:val="ka-GE"/>
        </w:rPr>
        <w:t>ებ</w:t>
      </w:r>
      <w:r w:rsidR="0087661E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ის  </w:t>
      </w:r>
      <w:r w:rsidR="00914D8C" w:rsidRPr="00B73E97">
        <w:rPr>
          <w:rFonts w:ascii="Sylfaen" w:hAnsi="Sylfaen"/>
          <w:szCs w:val="21"/>
          <w:shd w:val="clear" w:color="auto" w:fill="FFFFFF"/>
          <w:lang w:val="ka-GE"/>
        </w:rPr>
        <w:t>არსებულ</w:t>
      </w:r>
      <w:r w:rsidR="0087661E" w:rsidRPr="00B73E97">
        <w:rPr>
          <w:rFonts w:ascii="Sylfaen" w:hAnsi="Sylfaen"/>
          <w:szCs w:val="21"/>
          <w:shd w:val="clear" w:color="auto" w:fill="FFFFFF"/>
          <w:lang w:val="ka-GE"/>
        </w:rPr>
        <w:t xml:space="preserve"> ნაშთ</w:t>
      </w:r>
      <w:r w:rsidR="00914D8C" w:rsidRPr="00B73E97">
        <w:rPr>
          <w:rFonts w:ascii="Sylfaen" w:hAnsi="Sylfaen"/>
          <w:szCs w:val="21"/>
          <w:shd w:val="clear" w:color="auto" w:fill="FFFFFF"/>
          <w:lang w:val="ka-GE"/>
        </w:rPr>
        <w:t>ს</w:t>
      </w:r>
      <w:r w:rsidR="0087661E"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421440">
        <w:rPr>
          <w:rFonts w:ascii="Sylfaen" w:hAnsi="Sylfaen"/>
          <w:szCs w:val="21"/>
          <w:shd w:val="clear" w:color="auto" w:fill="FFFFFF"/>
          <w:lang w:val="ka-GE"/>
        </w:rPr>
        <w:t>-</w:t>
      </w:r>
      <w:r w:rsidR="001A4349">
        <w:rPr>
          <w:rFonts w:ascii="Sylfaen" w:hAnsi="Sylfaen"/>
          <w:szCs w:val="21"/>
          <w:shd w:val="clear" w:color="auto" w:fill="FFFFFF"/>
          <w:lang w:val="ka-GE"/>
        </w:rPr>
        <w:t>33</w:t>
      </w:r>
      <w:r w:rsidR="00421440">
        <w:rPr>
          <w:rFonts w:ascii="Sylfaen" w:hAnsi="Sylfaen"/>
          <w:szCs w:val="21"/>
          <w:shd w:val="clear" w:color="auto" w:fill="FFFFFF"/>
          <w:lang w:val="ka-GE"/>
        </w:rPr>
        <w:t>.</w:t>
      </w:r>
      <w:r w:rsidR="001A4349">
        <w:rPr>
          <w:rFonts w:ascii="Sylfaen" w:hAnsi="Sylfaen"/>
          <w:szCs w:val="21"/>
          <w:shd w:val="clear" w:color="auto" w:fill="FFFFFF"/>
          <w:lang w:val="ka-GE"/>
        </w:rPr>
        <w:t>3</w:t>
      </w:r>
      <w:r w:rsidR="00914D8C" w:rsidRPr="00B73E97">
        <w:rPr>
          <w:rFonts w:ascii="Sylfaen" w:hAnsi="Sylfaen"/>
          <w:szCs w:val="21"/>
          <w:shd w:val="clear" w:color="auto" w:fill="FFFFFF"/>
          <w:lang w:val="ka-GE"/>
        </w:rPr>
        <w:t xml:space="preserve"> მლნ ლარს</w:t>
      </w:r>
      <w:r w:rsidR="000369D7">
        <w:rPr>
          <w:rFonts w:ascii="Sylfaen" w:hAnsi="Sylfaen"/>
          <w:szCs w:val="21"/>
          <w:shd w:val="clear" w:color="auto" w:fill="FFFFFF"/>
          <w:lang w:val="ka-GE"/>
        </w:rPr>
        <w:t xml:space="preserve"> და </w:t>
      </w:r>
      <w:r w:rsidR="000369D7" w:rsidRPr="000369D7">
        <w:rPr>
          <w:rFonts w:ascii="Sylfaen" w:hAnsi="Sylfaen"/>
          <w:szCs w:val="21"/>
          <w:shd w:val="clear" w:color="auto" w:fill="FFFFFF"/>
          <w:lang w:val="ka-GE"/>
        </w:rPr>
        <w:t>საჯარო და კერძო თანამშრომლობის კრიტერიუმების შესაბამისი პროექტების ფარგლებში აღებული ვალდებულებების მიმდინარე ღირებულებ</w:t>
      </w:r>
      <w:r w:rsidR="000369D7">
        <w:rPr>
          <w:rFonts w:ascii="Sylfaen" w:hAnsi="Sylfaen"/>
          <w:szCs w:val="21"/>
          <w:shd w:val="clear" w:color="auto" w:fill="FFFFFF"/>
          <w:lang w:val="ka-GE"/>
        </w:rPr>
        <w:t>ა</w:t>
      </w:r>
      <w:r w:rsidR="000369D7" w:rsidRPr="000369D7">
        <w:rPr>
          <w:rFonts w:ascii="Sylfaen" w:hAnsi="Sylfaen"/>
          <w:szCs w:val="21"/>
          <w:shd w:val="clear" w:color="auto" w:fill="FFFFFF"/>
          <w:lang w:val="ka-GE"/>
        </w:rPr>
        <w:t>ს</w:t>
      </w:r>
      <w:r w:rsidR="000369D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D63FD8">
        <w:rPr>
          <w:rFonts w:ascii="Sylfaen" w:hAnsi="Sylfaen"/>
          <w:szCs w:val="21"/>
          <w:shd w:val="clear" w:color="auto" w:fill="FFFFFF"/>
          <w:lang w:val="ka-GE"/>
        </w:rPr>
        <w:t xml:space="preserve">- </w:t>
      </w:r>
      <w:r w:rsidR="000369D7">
        <w:rPr>
          <w:rFonts w:ascii="Sylfaen" w:hAnsi="Sylfaen"/>
          <w:szCs w:val="21"/>
          <w:shd w:val="clear" w:color="auto" w:fill="FFFFFF"/>
          <w:lang w:val="ka-GE"/>
        </w:rPr>
        <w:t>395.4 მლნ ლარს</w:t>
      </w:r>
      <w:r w:rsidR="00914D8C" w:rsidRPr="00B73E97">
        <w:rPr>
          <w:rFonts w:ascii="Sylfaen" w:hAnsi="Sylfaen"/>
          <w:szCs w:val="21"/>
          <w:shd w:val="clear" w:color="auto" w:fill="FFFFFF"/>
          <w:lang w:val="ka-GE"/>
        </w:rPr>
        <w:t>.</w:t>
      </w:r>
    </w:p>
    <w:p w:rsidR="00C50CA0" w:rsidRPr="001E1573" w:rsidRDefault="00C50CA0" w:rsidP="00C50CA0">
      <w:pPr>
        <w:spacing w:after="0"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0369D7" w:rsidRPr="000369D7" w:rsidRDefault="000369D7" w:rsidP="00D62E87">
      <w:pPr>
        <w:spacing w:line="240" w:lineRule="auto"/>
        <w:ind w:firstLine="720"/>
        <w:jc w:val="both"/>
        <w:rPr>
          <w:rFonts w:ascii="Sylfaen" w:hAnsi="Sylfaen"/>
          <w:b/>
          <w:szCs w:val="21"/>
          <w:shd w:val="clear" w:color="auto" w:fill="FFFFFF"/>
          <w:lang w:val="ka-GE"/>
        </w:rPr>
      </w:pPr>
      <w:r w:rsidRPr="000369D7">
        <w:rPr>
          <w:rFonts w:ascii="Sylfaen" w:hAnsi="Sylfaen"/>
          <w:b/>
          <w:szCs w:val="21"/>
          <w:shd w:val="clear" w:color="auto" w:fill="FFFFFF"/>
          <w:lang w:val="ka-GE"/>
        </w:rPr>
        <w:t>მთავრობის საგარეო ვალი</w:t>
      </w:r>
    </w:p>
    <w:p w:rsidR="006F4202" w:rsidRPr="00B73E97" w:rsidRDefault="00D63FD8" w:rsidP="00D62E8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  <w:lang w:val="ka-GE"/>
        </w:rPr>
      </w:pPr>
      <w:r w:rsidRPr="00D63FD8">
        <w:rPr>
          <w:rFonts w:ascii="Sylfaen" w:hAnsi="Sylfaen"/>
          <w:szCs w:val="21"/>
          <w:shd w:val="clear" w:color="auto" w:fill="FFFFFF"/>
          <w:lang w:val="ka-GE"/>
        </w:rPr>
        <w:t xml:space="preserve">2021 წლის </w:t>
      </w:r>
      <w:r w:rsidRPr="00D63FD8">
        <w:rPr>
          <w:rFonts w:ascii="Sylfaen" w:hAnsi="Sylfaen"/>
          <w:szCs w:val="21"/>
          <w:shd w:val="clear" w:color="auto" w:fill="FFFFFF"/>
        </w:rPr>
        <w:t xml:space="preserve">31 </w:t>
      </w:r>
      <w:r w:rsidRPr="00D63FD8">
        <w:rPr>
          <w:rFonts w:ascii="Sylfaen" w:hAnsi="Sylfaen"/>
          <w:szCs w:val="21"/>
          <w:shd w:val="clear" w:color="auto" w:fill="FFFFFF"/>
          <w:lang w:val="ka-GE"/>
        </w:rPr>
        <w:t xml:space="preserve">აგვისტოს მდგომარეობით </w:t>
      </w:r>
      <w:r w:rsidR="00DB657D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მთავრობის 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>საგარეო ვალის ნაშთი</w:t>
      </w:r>
      <w:r w:rsidR="003C2FBC">
        <w:rPr>
          <w:rFonts w:ascii="Sylfaen" w:hAnsi="Sylfaen"/>
          <w:szCs w:val="21"/>
          <w:shd w:val="clear" w:color="auto" w:fill="FFFFFF"/>
          <w:lang w:val="ka-GE"/>
        </w:rPr>
        <w:t xml:space="preserve"> შეადგენს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1A4349">
        <w:rPr>
          <w:rFonts w:ascii="Sylfaen" w:hAnsi="Sylfaen"/>
          <w:szCs w:val="21"/>
          <w:shd w:val="clear" w:color="auto" w:fill="FFFFFF"/>
        </w:rPr>
        <w:t>23</w:t>
      </w:r>
      <w:r w:rsidR="008739E5">
        <w:rPr>
          <w:rFonts w:ascii="Sylfaen" w:hAnsi="Sylfaen"/>
          <w:szCs w:val="21"/>
          <w:shd w:val="clear" w:color="auto" w:fill="FFFFFF"/>
        </w:rPr>
        <w:t xml:space="preserve"> </w:t>
      </w:r>
      <w:r w:rsidR="001A4349">
        <w:rPr>
          <w:rFonts w:ascii="Sylfaen" w:hAnsi="Sylfaen"/>
          <w:szCs w:val="21"/>
          <w:shd w:val="clear" w:color="auto" w:fill="FFFFFF"/>
        </w:rPr>
        <w:t>588</w:t>
      </w:r>
      <w:r w:rsidR="001A4349">
        <w:rPr>
          <w:rFonts w:ascii="Sylfaen" w:hAnsi="Sylfaen"/>
          <w:szCs w:val="21"/>
          <w:shd w:val="clear" w:color="auto" w:fill="FFFFFF"/>
          <w:lang w:val="ka-GE"/>
        </w:rPr>
        <w:t>.7</w:t>
      </w:r>
      <w:r w:rsidR="00421440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87661E" w:rsidRPr="00B73E97">
        <w:rPr>
          <w:rFonts w:ascii="Sylfaen" w:hAnsi="Sylfaen"/>
          <w:szCs w:val="21"/>
          <w:shd w:val="clear" w:color="auto" w:fill="FFFFFF"/>
          <w:lang w:val="ka-GE"/>
        </w:rPr>
        <w:t>მლნ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 xml:space="preserve"> ლარ</w:t>
      </w:r>
      <w:r w:rsidR="003C2FBC">
        <w:rPr>
          <w:rFonts w:ascii="Sylfaen" w:hAnsi="Sylfaen"/>
          <w:szCs w:val="21"/>
          <w:shd w:val="clear" w:color="auto" w:fill="FFFFFF"/>
          <w:lang w:val="ka-GE"/>
        </w:rPr>
        <w:t>ს</w:t>
      </w:r>
      <w:r w:rsidR="009B63F3" w:rsidRPr="00B73E97">
        <w:rPr>
          <w:rFonts w:ascii="Sylfaen" w:hAnsi="Sylfaen"/>
          <w:szCs w:val="21"/>
          <w:shd w:val="clear" w:color="auto" w:fill="FFFFFF"/>
          <w:lang w:val="ka-GE"/>
        </w:rPr>
        <w:t>,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3C2FBC">
        <w:rPr>
          <w:rFonts w:ascii="Sylfaen" w:hAnsi="Sylfaen"/>
          <w:szCs w:val="21"/>
          <w:shd w:val="clear" w:color="auto" w:fill="FFFFFF"/>
          <w:lang w:val="ka-GE"/>
        </w:rPr>
        <w:t xml:space="preserve">რომელიც 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3C2FBC" w:rsidRPr="00B73E97">
        <w:rPr>
          <w:rFonts w:ascii="Sylfaen" w:hAnsi="Sylfaen" w:cs="Sylfaen"/>
          <w:szCs w:val="21"/>
          <w:shd w:val="clear" w:color="auto" w:fill="FFFFFF"/>
        </w:rPr>
        <w:t>მთლიანი</w:t>
      </w:r>
      <w:proofErr w:type="spellEnd"/>
      <w:r w:rsidR="003C2FBC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1E1573">
        <w:rPr>
          <w:rFonts w:ascii="Sylfaen" w:hAnsi="Sylfaen"/>
          <w:szCs w:val="21"/>
          <w:shd w:val="clear" w:color="auto" w:fill="FFFFFF"/>
          <w:lang w:val="ka-GE"/>
        </w:rPr>
        <w:t>81</w:t>
      </w:r>
      <w:r w:rsidR="006F4202" w:rsidRPr="00B73E97">
        <w:rPr>
          <w:rFonts w:ascii="Sylfaen" w:hAnsi="Sylfaen"/>
          <w:szCs w:val="21"/>
          <w:shd w:val="clear" w:color="auto" w:fill="FFFFFF"/>
        </w:rPr>
        <w:t>%-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>ია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.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>აღნიშნული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საკრედიტო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რესურსის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დიდი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ნაწილი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მიღებულია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მრავალმხრივი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ორმხრივი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დონორებისგან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>/პარტნიორებისგან ქვეყნისათვის პრიორიტეტული ინფრასტრუქტურული პროექტების დასაფინანსებლად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.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>ს პორტფელი შეღავათიანია და ძირითადად შედგება გრძელვადიანი სესხებისგან -</w:t>
      </w:r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პორტფელის </w:t>
      </w:r>
      <w:r w:rsidR="00071A4F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საშუალო შეწონილი </w:t>
      </w:r>
      <w:proofErr w:type="spellStart"/>
      <w:r w:rsidR="006F4202" w:rsidRPr="00B73E97">
        <w:rPr>
          <w:rFonts w:ascii="Sylfaen" w:hAnsi="Sylfaen"/>
          <w:szCs w:val="21"/>
          <w:shd w:val="clear" w:color="auto" w:fill="FFFFFF"/>
        </w:rPr>
        <w:t>საკონტრაქტო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/>
          <w:szCs w:val="21"/>
          <w:shd w:val="clear" w:color="auto" w:fill="FFFFFF"/>
        </w:rPr>
        <w:t>ვადიანობა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/>
          <w:szCs w:val="21"/>
          <w:shd w:val="clear" w:color="auto" w:fill="FFFFFF"/>
        </w:rPr>
        <w:t>შეადგენს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</w:rPr>
        <w:t xml:space="preserve"> </w:t>
      </w:r>
      <w:r w:rsidR="002A3C73" w:rsidRPr="00B73E97">
        <w:rPr>
          <w:rFonts w:ascii="Sylfaen" w:hAnsi="Sylfaen"/>
          <w:szCs w:val="21"/>
          <w:shd w:val="clear" w:color="auto" w:fill="FFFFFF"/>
          <w:lang w:val="ka-GE"/>
        </w:rPr>
        <w:t>2</w:t>
      </w:r>
      <w:r w:rsidR="001E1573">
        <w:rPr>
          <w:rFonts w:ascii="Sylfaen" w:hAnsi="Sylfaen"/>
          <w:szCs w:val="21"/>
          <w:shd w:val="clear" w:color="auto" w:fill="FFFFFF"/>
          <w:lang w:val="ka-GE"/>
        </w:rPr>
        <w:t>0</w:t>
      </w:r>
      <w:r w:rsidR="002A3C73" w:rsidRPr="00B73E97">
        <w:rPr>
          <w:rFonts w:ascii="Sylfaen" w:hAnsi="Sylfaen"/>
          <w:szCs w:val="21"/>
          <w:shd w:val="clear" w:color="auto" w:fill="FFFFFF"/>
          <w:lang w:val="ka-GE"/>
        </w:rPr>
        <w:t>.</w:t>
      </w:r>
      <w:r w:rsidR="001E1573">
        <w:rPr>
          <w:rFonts w:ascii="Sylfaen" w:hAnsi="Sylfaen"/>
          <w:szCs w:val="21"/>
          <w:shd w:val="clear" w:color="auto" w:fill="FFFFFF"/>
          <w:lang w:val="ka-GE"/>
        </w:rPr>
        <w:t>6</w:t>
      </w:r>
      <w:r w:rsidR="00C126E1" w:rsidRPr="00B73E97">
        <w:rPr>
          <w:rFonts w:ascii="Sylfaen" w:hAnsi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/>
          <w:szCs w:val="21"/>
          <w:shd w:val="clear" w:color="auto" w:fill="FFFFFF"/>
        </w:rPr>
        <w:t>წელს</w:t>
      </w:r>
      <w:proofErr w:type="spellEnd"/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, საშუალო შეწონილი ვადიანობა </w:t>
      </w:r>
      <w:r w:rsidR="00071A4F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დაფარვამდე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შეადგენს დაახლოებით </w:t>
      </w:r>
      <w:r w:rsidR="001A4349">
        <w:rPr>
          <w:rFonts w:ascii="Sylfaen" w:hAnsi="Sylfaen"/>
          <w:szCs w:val="21"/>
          <w:shd w:val="clear" w:color="auto" w:fill="FFFFFF"/>
          <w:lang w:val="ka-GE"/>
        </w:rPr>
        <w:t>8</w:t>
      </w:r>
      <w:r w:rsidR="004F2321" w:rsidRPr="00B73E97">
        <w:rPr>
          <w:rFonts w:ascii="Sylfaen" w:hAnsi="Sylfaen"/>
          <w:szCs w:val="21"/>
          <w:shd w:val="clear" w:color="auto" w:fill="FFFFFF"/>
        </w:rPr>
        <w:t>.</w:t>
      </w:r>
      <w:r w:rsidR="001A4349">
        <w:rPr>
          <w:rFonts w:ascii="Sylfaen" w:hAnsi="Sylfaen"/>
          <w:szCs w:val="21"/>
          <w:shd w:val="clear" w:color="auto" w:fill="FFFFFF"/>
          <w:lang w:val="ka-GE"/>
        </w:rPr>
        <w:t>9</w:t>
      </w:r>
      <w:r w:rsidR="00C126E1" w:rsidRPr="00B73E97">
        <w:rPr>
          <w:rFonts w:ascii="Sylfaen" w:hAnsi="Sylfaen"/>
          <w:szCs w:val="21"/>
          <w:shd w:val="clear" w:color="auto" w:fill="FFFFFF"/>
          <w:lang w:val="ka-GE"/>
        </w:rPr>
        <w:t xml:space="preserve"> </w:t>
      </w:r>
      <w:r w:rsidR="006F4202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წელს, ხოლო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საგარეო ვალის საშუალო შეწონილი საპროცენტო განაკვეთი შეადგენს </w:t>
      </w:r>
      <w:r w:rsidR="001E1573">
        <w:rPr>
          <w:rFonts w:ascii="Sylfaen" w:hAnsi="Sylfaen" w:cs="Sylfaen"/>
          <w:szCs w:val="21"/>
          <w:shd w:val="clear" w:color="auto" w:fill="FFFFFF"/>
          <w:lang w:val="ka-GE"/>
        </w:rPr>
        <w:t>0</w:t>
      </w:r>
      <w:r w:rsidR="000A7B97" w:rsidRPr="00B73E97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1A4349">
        <w:rPr>
          <w:rFonts w:ascii="Sylfaen" w:hAnsi="Sylfaen" w:cs="Sylfaen"/>
          <w:szCs w:val="21"/>
          <w:shd w:val="clear" w:color="auto" w:fill="FFFFFF"/>
          <w:lang w:val="ka-GE"/>
        </w:rPr>
        <w:t>98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>%-ს.</w:t>
      </w:r>
    </w:p>
    <w:p w:rsidR="006F4202" w:rsidRPr="00421440" w:rsidRDefault="00322857" w:rsidP="00D62E87">
      <w:pPr>
        <w:tabs>
          <w:tab w:val="left" w:pos="720"/>
        </w:tabs>
        <w:spacing w:after="0" w:line="240" w:lineRule="auto"/>
        <w:jc w:val="center"/>
        <w:rPr>
          <w:rFonts w:ascii="Sylfaen" w:hAnsi="Sylfaen" w:cs="Sylfaen"/>
          <w:b/>
          <w:szCs w:val="18"/>
          <w:shd w:val="clear" w:color="auto" w:fill="FFFFFF"/>
        </w:rPr>
      </w:pPr>
      <w:r w:rsidRPr="00B73E97">
        <w:rPr>
          <w:noProof/>
        </w:rPr>
        <w:drawing>
          <wp:anchor distT="0" distB="0" distL="114300" distR="114300" simplePos="0" relativeHeight="251663360" behindDoc="0" locked="0" layoutInCell="1" allowOverlap="1" wp14:anchorId="15468251" wp14:editId="4D022CC6">
            <wp:simplePos x="0" y="0"/>
            <wp:positionH relativeFrom="column">
              <wp:posOffset>487680</wp:posOffset>
            </wp:positionH>
            <wp:positionV relativeFrom="paragraph">
              <wp:posOffset>282575</wp:posOffset>
            </wp:positionV>
            <wp:extent cx="3276600" cy="1333500"/>
            <wp:effectExtent l="0" t="0" r="0" b="0"/>
            <wp:wrapTopAndBottom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6821" w:rsidRPr="00B73E97">
        <w:rPr>
          <w:rFonts w:ascii="Sylfaen" w:hAnsi="Sylfaen"/>
          <w:noProof/>
          <w:color w:val="8064A2" w:themeColor="accent4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45C53C49" wp14:editId="3AA6A472">
                <wp:simplePos x="0" y="0"/>
                <wp:positionH relativeFrom="column">
                  <wp:posOffset>4022090</wp:posOffset>
                </wp:positionH>
                <wp:positionV relativeFrom="paragraph">
                  <wp:posOffset>856615</wp:posOffset>
                </wp:positionV>
                <wp:extent cx="2620029" cy="626745"/>
                <wp:effectExtent l="0" t="0" r="0" b="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0029" cy="626745"/>
                          <a:chOff x="-2" y="0"/>
                          <a:chExt cx="2620029" cy="626745"/>
                        </a:xfrm>
                      </wpg:grpSpPr>
                      <wps:wsp>
                        <wps:cNvPr id="26" name="TextBox 25"/>
                        <wps:cNvSpPr txBox="1"/>
                        <wps:spPr>
                          <a:xfrm>
                            <a:off x="198772" y="0"/>
                            <a:ext cx="2421255" cy="6267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C50CA0" w:rsidRPr="00A33B48" w:rsidRDefault="00C50CA0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</w:rPr>
                              </w:pPr>
                              <w:r w:rsidRPr="00DE4001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საშუალო შეწონილი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: </w:t>
                              </w:r>
                            </w:p>
                            <w:p w:rsidR="00C50CA0" w:rsidRPr="001E1573" w:rsidRDefault="00C50CA0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- </w:t>
                              </w:r>
                              <w:proofErr w:type="gramStart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საპროცენტო</w:t>
                              </w:r>
                              <w:proofErr w:type="gramEnd"/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განაკვეთი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1E157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98</w:t>
                              </w:r>
                              <w:r w:rsidRPr="001E157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%</w:t>
                              </w:r>
                            </w:p>
                            <w:p w:rsidR="00C50CA0" w:rsidRPr="00A33B48" w:rsidRDefault="00C50CA0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1E1573">
                                <w:rPr>
                                  <w:rFonts w:ascii="Sylfaen" w:hAnsi="Sylfaen" w:cstheme="minorBidi"/>
                                  <w:color w:val="000000" w:themeColor="text1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- საკონტრაქტო ვადიანობა </w:t>
                              </w:r>
                              <w:r w:rsidRPr="001E1573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2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0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6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წელი</w:t>
                              </w:r>
                            </w:p>
                            <w:p w:rsidR="00C50CA0" w:rsidRPr="00DE4001" w:rsidRDefault="00C50CA0" w:rsidP="0071317C">
                              <w:pPr>
                                <w:pStyle w:val="NormalWeb"/>
                                <w:spacing w:before="0" w:beforeAutospacing="0" w:after="0" w:afterAutospacing="0"/>
                                <w:rPr>
                                  <w:rFonts w:ascii="Sylfaen" w:hAnsi="Sylfaen"/>
                                  <w:sz w:val="16"/>
                                  <w:szCs w:val="16"/>
                                  <w:lang w:val="ka-GE"/>
                                </w:rPr>
                              </w:pPr>
                              <w:r w:rsidRPr="00A33B48">
                                <w:rPr>
                                  <w:rFonts w:ascii="Sylfaen" w:hAnsi="Sylfaen" w:cstheme="minorBidi"/>
                                  <w:bCs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- დარჩენილი ვადიანობა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kern w:val="24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8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.</w:t>
                              </w:r>
                              <w:r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>9</w:t>
                              </w:r>
                              <w:r w:rsidRPr="00A33B48">
                                <w:rPr>
                                  <w:rFonts w:ascii="Sylfaen" w:hAnsi="Sylfaen" w:cstheme="minorBidi"/>
                                  <w:b/>
                                  <w:bCs/>
                                  <w:color w:val="C00000"/>
                                  <w:kern w:val="24"/>
                                  <w:sz w:val="16"/>
                                  <w:szCs w:val="16"/>
                                  <w:lang w:val="ka-GE"/>
                                </w:rPr>
                                <w:t xml:space="preserve"> წელი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3" name="Flowchart: Extract 2"/>
                        <wps:cNvSpPr/>
                        <wps:spPr>
                          <a:xfrm rot="5400000">
                            <a:off x="-44773" y="233524"/>
                            <a:ext cx="224716" cy="135173"/>
                          </a:xfrm>
                          <a:prstGeom prst="flowChartExtra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4"/>
                          </a:lnRef>
                          <a:fillRef idx="1">
                            <a:schemeClr val="lt1"/>
                          </a:fillRef>
                          <a:effectRef idx="0">
                            <a:schemeClr val="accent4"/>
                          </a:effectRef>
                          <a:fontRef idx="minor">
                            <a:schemeClr val="dk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5C53C49" id="Group 6" o:spid="_x0000_s1026" style="position:absolute;left:0;text-align:left;margin-left:316.7pt;margin-top:67.45pt;width:206.3pt;height:49.35pt;z-index:251661312" coordorigin="" coordsize="26200,62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25" o:spid="_x0000_s1027" type="#_x0000_t202" style="position:absolute;left:1987;width:24213;height:6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<v:textbox style="mso-fit-shape-to-text:t">
                    <w:txbxContent>
                      <w:p w:rsidR="00C50CA0" w:rsidRPr="00A33B48" w:rsidRDefault="00C50CA0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</w:rPr>
                        </w:pPr>
                        <w:r w:rsidRPr="00DE4001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 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საშუალო შეწონილი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: </w:t>
                        </w:r>
                      </w:p>
                      <w:p w:rsidR="00C50CA0" w:rsidRPr="001E1573" w:rsidRDefault="00C50CA0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- </w:t>
                        </w:r>
                        <w:proofErr w:type="gramStart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>საპროცენტო</w:t>
                        </w:r>
                        <w:proofErr w:type="gramEnd"/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განაკვეთი</w:t>
                        </w:r>
                        <w:r w:rsidRPr="00A33B48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1E157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0.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98</w:t>
                        </w:r>
                        <w:r w:rsidRPr="001E157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%</w:t>
                        </w:r>
                      </w:p>
                      <w:p w:rsidR="00C50CA0" w:rsidRPr="00A33B48" w:rsidRDefault="00C50CA0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</w:pPr>
                        <w:r w:rsidRPr="001E1573">
                          <w:rPr>
                            <w:rFonts w:ascii="Sylfaen" w:hAnsi="Sylfaen" w:cstheme="minorBidi"/>
                            <w:color w:val="000000" w:themeColor="text1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- საკონტრაქტო ვადიანობა </w:t>
                        </w:r>
                        <w:r w:rsidRPr="001E1573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2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0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6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წელი</w:t>
                        </w:r>
                      </w:p>
                      <w:p w:rsidR="00C50CA0" w:rsidRPr="00DE4001" w:rsidRDefault="00C50CA0" w:rsidP="0071317C">
                        <w:pPr>
                          <w:pStyle w:val="NormalWeb"/>
                          <w:spacing w:before="0" w:beforeAutospacing="0" w:after="0" w:afterAutospacing="0"/>
                          <w:rPr>
                            <w:rFonts w:ascii="Sylfaen" w:hAnsi="Sylfaen"/>
                            <w:sz w:val="16"/>
                            <w:szCs w:val="16"/>
                            <w:lang w:val="ka-GE"/>
                          </w:rPr>
                        </w:pPr>
                        <w:r w:rsidRPr="00A33B48">
                          <w:rPr>
                            <w:rFonts w:ascii="Sylfaen" w:hAnsi="Sylfaen" w:cstheme="minorBidi"/>
                            <w:bCs/>
                            <w:kern w:val="24"/>
                            <w:sz w:val="16"/>
                            <w:szCs w:val="16"/>
                            <w:lang w:val="ka-GE"/>
                          </w:rPr>
                          <w:t>- დარჩენილი ვადიანობა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kern w:val="24"/>
                            <w:sz w:val="16"/>
                            <w:szCs w:val="16"/>
                          </w:rPr>
                          <w:t xml:space="preserve"> 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8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.</w:t>
                        </w:r>
                        <w:r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>9</w:t>
                        </w:r>
                        <w:r w:rsidRPr="00A33B48">
                          <w:rPr>
                            <w:rFonts w:ascii="Sylfaen" w:hAnsi="Sylfaen" w:cstheme="minorBidi"/>
                            <w:b/>
                            <w:bCs/>
                            <w:color w:val="C00000"/>
                            <w:kern w:val="24"/>
                            <w:sz w:val="16"/>
                            <w:szCs w:val="16"/>
                            <w:lang w:val="ka-GE"/>
                          </w:rPr>
                          <w:t xml:space="preserve"> წელი</w:t>
                        </w:r>
                      </w:p>
                    </w:txbxContent>
                  </v:textbox>
                </v:shape>
                <v:shapetype id="_x0000_t127" coordsize="21600,21600" o:spt="127" path="m10800,l21600,21600,,21600xe">
                  <v:stroke joinstyle="miter"/>
                  <v:path gradientshapeok="t" o:connecttype="custom" o:connectlocs="10800,0;5400,10800;10800,21600;16200,10800" textboxrect="5400,10800,16200,21600"/>
                </v:shapetype>
                <v:shape id="Flowchart: Extract 2" o:spid="_x0000_s1028" type="#_x0000_t127" style="position:absolute;left:-448;top:2335;width:2247;height:135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" fillcolor="white [3201]" strokecolor="#8064a2 [3207]" strokeweight="2pt"/>
              </v:group>
            </w:pict>
          </mc:Fallback>
        </mc:AlternateContent>
      </w:r>
      <w:r w:rsidR="00784855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ვალის სტრუქტურა </w:t>
      </w:r>
      <w:r w:rsidR="008D1F2B" w:rsidRPr="00B73E97">
        <w:rPr>
          <w:rFonts w:ascii="Sylfaen" w:hAnsi="Sylfaen"/>
          <w:b/>
          <w:szCs w:val="18"/>
          <w:shd w:val="clear" w:color="auto" w:fill="FFFFFF"/>
          <w:lang w:val="ka-GE"/>
        </w:rPr>
        <w:t>20</w:t>
      </w:r>
      <w:r w:rsidR="000A7B97" w:rsidRPr="00B73E97">
        <w:rPr>
          <w:rFonts w:ascii="Sylfaen" w:hAnsi="Sylfaen"/>
          <w:b/>
          <w:szCs w:val="18"/>
          <w:shd w:val="clear" w:color="auto" w:fill="FFFFFF"/>
          <w:lang w:val="ka-GE"/>
        </w:rPr>
        <w:t>2</w:t>
      </w:r>
      <w:r w:rsidR="001E1573">
        <w:rPr>
          <w:rFonts w:ascii="Sylfaen" w:hAnsi="Sylfaen"/>
          <w:b/>
          <w:szCs w:val="18"/>
          <w:shd w:val="clear" w:color="auto" w:fill="FFFFFF"/>
          <w:lang w:val="ka-GE"/>
        </w:rPr>
        <w:t>1</w:t>
      </w:r>
      <w:r w:rsidR="008D1F2B" w:rsidRPr="00B73E97">
        <w:rPr>
          <w:rFonts w:ascii="Sylfaen" w:hAnsi="Sylfaen"/>
          <w:b/>
          <w:szCs w:val="18"/>
          <w:shd w:val="clear" w:color="auto" w:fill="FFFFFF"/>
          <w:lang w:val="ka-GE"/>
        </w:rPr>
        <w:t xml:space="preserve"> </w:t>
      </w:r>
      <w:r w:rsidR="00CB36D7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წლის </w:t>
      </w:r>
      <w:r w:rsidR="007350CD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31 </w:t>
      </w:r>
      <w:r w:rsidR="001A4349">
        <w:rPr>
          <w:rFonts w:ascii="Sylfaen" w:hAnsi="Sylfaen" w:cs="Sylfaen"/>
          <w:b/>
          <w:szCs w:val="18"/>
          <w:shd w:val="clear" w:color="auto" w:fill="FFFFFF"/>
          <w:lang w:val="ka-GE"/>
        </w:rPr>
        <w:t>აგვისტოს</w:t>
      </w:r>
      <w:r w:rsidR="00EB0EE9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6F4202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>მდგომარეობით</w:t>
      </w:r>
    </w:p>
    <w:p w:rsidR="00322857" w:rsidRDefault="00322857" w:rsidP="00322857">
      <w:pPr>
        <w:spacing w:line="240" w:lineRule="auto"/>
        <w:ind w:firstLine="720"/>
        <w:jc w:val="both"/>
        <w:rPr>
          <w:rFonts w:ascii="Sylfaen" w:hAnsi="Sylfaen"/>
          <w:lang w:val="ka-GE"/>
        </w:rPr>
      </w:pPr>
    </w:p>
    <w:p w:rsidR="006F4202" w:rsidRPr="00B73E97" w:rsidRDefault="00764192" w:rsidP="00322857">
      <w:pPr>
        <w:spacing w:line="240" w:lineRule="auto"/>
        <w:ind w:firstLine="720"/>
        <w:jc w:val="both"/>
        <w:rPr>
          <w:rFonts w:ascii="Sylfaen" w:hAnsi="Sylfaen" w:cs="Sylfaen"/>
          <w:szCs w:val="21"/>
          <w:shd w:val="clear" w:color="auto" w:fill="FFFFFF"/>
        </w:rPr>
      </w:pPr>
      <w:r w:rsidRPr="00B73E97">
        <w:rPr>
          <w:rFonts w:ascii="Sylfaen" w:hAnsi="Sylfaen"/>
          <w:lang w:val="ka-GE"/>
        </w:rPr>
        <w:t xml:space="preserve"> </w:t>
      </w:r>
      <w:r w:rsidR="009363B9" w:rsidRPr="00B73E97">
        <w:rPr>
          <w:rFonts w:ascii="Sylfaen" w:hAnsi="Sylfaen" w:cs="Sylfaen"/>
          <w:szCs w:val="21"/>
          <w:shd w:val="clear" w:color="auto" w:fill="FFFFFF"/>
          <w:lang w:val="ka-GE"/>
        </w:rPr>
        <w:t>20</w:t>
      </w:r>
      <w:r w:rsidR="00406FEE" w:rsidRPr="00B73E97">
        <w:rPr>
          <w:rFonts w:ascii="Sylfaen" w:hAnsi="Sylfaen" w:cs="Sylfaen"/>
          <w:szCs w:val="21"/>
          <w:shd w:val="clear" w:color="auto" w:fill="FFFFFF"/>
        </w:rPr>
        <w:t>2</w:t>
      </w:r>
      <w:r w:rsidR="00C76853"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="009363B9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r w:rsidR="007350CD" w:rsidRPr="00B73E97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="00EB0EE9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1A4349">
        <w:rPr>
          <w:rFonts w:ascii="Sylfaen" w:hAnsi="Sylfaen" w:cs="Sylfaen"/>
          <w:szCs w:val="21"/>
          <w:shd w:val="clear" w:color="auto" w:fill="FFFFFF"/>
          <w:lang w:val="ka-GE"/>
        </w:rPr>
        <w:t>აგვისტოს</w:t>
      </w:r>
      <w:r w:rsidR="00A552F9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9A7187" w:rsidRPr="00B73E97">
        <w:rPr>
          <w:rFonts w:ascii="Sylfaen" w:hAnsi="Sylfaen"/>
          <w:szCs w:val="21"/>
          <w:shd w:val="clear" w:color="auto" w:fill="FFFFFF"/>
          <w:lang w:val="ka-GE"/>
        </w:rPr>
        <w:t xml:space="preserve">მდგომარეობით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პორტფელის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B7447C" w:rsidRPr="00B73E97">
        <w:rPr>
          <w:rFonts w:ascii="Sylfaen" w:hAnsi="Sylfaen" w:cs="Sylfaen"/>
          <w:szCs w:val="21"/>
          <w:shd w:val="clear" w:color="auto" w:fill="FFFFFF"/>
        </w:rPr>
        <w:t>5</w:t>
      </w:r>
      <w:r w:rsidR="00C76853">
        <w:rPr>
          <w:rFonts w:ascii="Sylfaen" w:hAnsi="Sylfaen" w:cs="Sylfaen"/>
          <w:szCs w:val="21"/>
          <w:shd w:val="clear" w:color="auto" w:fill="FFFFFF"/>
          <w:lang w:val="ka-GE"/>
        </w:rPr>
        <w:t>6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%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შედგება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ფიქსირებული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განაკვეთის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მქონე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კრედიტებისგან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. </w:t>
      </w:r>
      <w:proofErr w:type="spellStart"/>
      <w:proofErr w:type="gramStart"/>
      <w:r w:rsidR="006F4202" w:rsidRPr="00B73E97">
        <w:rPr>
          <w:rFonts w:ascii="Sylfaen" w:hAnsi="Sylfaen" w:cs="Sylfaen"/>
          <w:szCs w:val="21"/>
          <w:shd w:val="clear" w:color="auto" w:fill="FFFFFF"/>
        </w:rPr>
        <w:t>ეს</w:t>
      </w:r>
      <w:proofErr w:type="spellEnd"/>
      <w:proofErr w:type="gram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გარემოება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ხელს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უწყობს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საქართველოს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784855" w:rsidRPr="00B73E97">
        <w:rPr>
          <w:rFonts w:ascii="Sylfaen" w:hAnsi="Sylfaen" w:cs="Sylfaen"/>
          <w:szCs w:val="21"/>
          <w:shd w:val="clear" w:color="auto" w:fill="FFFFFF"/>
          <w:lang w:val="ka-GE"/>
        </w:rPr>
        <w:t>მთავრობის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საგარეო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პარამეტრების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დაცულობას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საპროცენტო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განაკვეთების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ეგზოგენური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რყევებისგან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და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უზრუნველყოფს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ვალის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მომსახურების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ხარჯების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შენარჩუნებას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დაბალ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proofErr w:type="spellStart"/>
      <w:r w:rsidR="006F4202" w:rsidRPr="00B73E97">
        <w:rPr>
          <w:rFonts w:ascii="Sylfaen" w:hAnsi="Sylfaen" w:cs="Sylfaen"/>
          <w:szCs w:val="21"/>
          <w:shd w:val="clear" w:color="auto" w:fill="FFFFFF"/>
        </w:rPr>
        <w:t>დონეზე</w:t>
      </w:r>
      <w:proofErr w:type="spellEnd"/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. საგარეო ვალის </w:t>
      </w:r>
      <w:r w:rsidR="00E165DE" w:rsidRPr="00B73E97">
        <w:rPr>
          <w:rFonts w:ascii="Sylfaen" w:hAnsi="Sylfaen" w:cs="Sylfaen"/>
          <w:szCs w:val="21"/>
          <w:shd w:val="clear" w:color="auto" w:fill="FFFFFF"/>
        </w:rPr>
        <w:t>2</w:t>
      </w:r>
      <w:r w:rsidR="001A4349">
        <w:rPr>
          <w:rFonts w:ascii="Sylfaen" w:hAnsi="Sylfaen" w:cs="Sylfaen"/>
          <w:szCs w:val="21"/>
          <w:shd w:val="clear" w:color="auto" w:fill="FFFFFF"/>
          <w:lang w:val="ka-GE"/>
        </w:rPr>
        <w:t>3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% </w:t>
      </w:r>
      <w:r w:rsidR="006F4202" w:rsidRPr="00B73E97">
        <w:rPr>
          <w:rFonts w:ascii="Sylfaen" w:hAnsi="Sylfaen" w:cs="Sylfaen"/>
          <w:szCs w:val="21"/>
          <w:shd w:val="clear" w:color="auto" w:fill="FFFFFF"/>
        </w:rPr>
        <w:t>SDR-</w:t>
      </w:r>
      <w:r w:rsidR="006F4202" w:rsidRPr="00B73E97">
        <w:rPr>
          <w:rFonts w:ascii="Sylfaen" w:hAnsi="Sylfaen" w:cs="Sylfaen"/>
          <w:szCs w:val="21"/>
          <w:shd w:val="clear" w:color="auto" w:fill="FFFFFF"/>
          <w:lang w:val="ka-GE"/>
        </w:rPr>
        <w:t xml:space="preserve">შია დენომინირებული (ნასესხობის სპეციალური უფლება) მსოფლიო ბანკის, საერთაშორისო სავალუტო ფონდის და აზიის განვითარების ბანკის ფინანსური რესურსების დიდი წილის გამო. </w:t>
      </w:r>
    </w:p>
    <w:p w:rsidR="00A93CD1" w:rsidRPr="00B73E97" w:rsidRDefault="00C50CA0" w:rsidP="00D62E87">
      <w:pPr>
        <w:tabs>
          <w:tab w:val="left" w:pos="360"/>
        </w:tabs>
        <w:spacing w:line="240" w:lineRule="auto"/>
        <w:rPr>
          <w:rFonts w:ascii="Sylfaen" w:hAnsi="Sylfaen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645F6D1D" wp14:editId="3BE9E3F4">
            <wp:simplePos x="0" y="0"/>
            <wp:positionH relativeFrom="column">
              <wp:posOffset>693420</wp:posOffset>
            </wp:positionH>
            <wp:positionV relativeFrom="paragraph">
              <wp:posOffset>6350</wp:posOffset>
            </wp:positionV>
            <wp:extent cx="2228850" cy="1409700"/>
            <wp:effectExtent l="0" t="0" r="0" b="0"/>
            <wp:wrapTight wrapText="bothSides">
              <wp:wrapPolygon edited="0">
                <wp:start x="0" y="0"/>
                <wp:lineTo x="0" y="21308"/>
                <wp:lineTo x="21415" y="21308"/>
                <wp:lineTo x="21415" y="0"/>
                <wp:lineTo x="0" y="0"/>
              </wp:wrapPolygon>
            </wp:wrapTight>
            <wp:docPr id="9" name="Chart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2857">
        <w:rPr>
          <w:noProof/>
        </w:rPr>
        <w:drawing>
          <wp:anchor distT="0" distB="0" distL="114300" distR="114300" simplePos="0" relativeHeight="251664384" behindDoc="1" locked="0" layoutInCell="1" allowOverlap="1" wp14:anchorId="12F46AC9" wp14:editId="45B14A74">
            <wp:simplePos x="0" y="0"/>
            <wp:positionH relativeFrom="column">
              <wp:posOffset>3939540</wp:posOffset>
            </wp:positionH>
            <wp:positionV relativeFrom="paragraph">
              <wp:posOffset>5080</wp:posOffset>
            </wp:positionV>
            <wp:extent cx="1812925" cy="1409700"/>
            <wp:effectExtent l="0" t="0" r="0" b="0"/>
            <wp:wrapTight wrapText="bothSides">
              <wp:wrapPolygon edited="0">
                <wp:start x="0" y="0"/>
                <wp:lineTo x="0" y="21308"/>
                <wp:lineTo x="21335" y="21308"/>
                <wp:lineTo x="21335" y="0"/>
                <wp:lineTo x="0" y="0"/>
              </wp:wrapPolygon>
            </wp:wrapTight>
            <wp:docPr id="7" name="Chart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V relativeFrom="margin">
              <wp14:pctHeight>0</wp14:pctHeight>
            </wp14:sizeRelV>
          </wp:anchor>
        </w:drawing>
      </w:r>
      <w:r w:rsidR="00570C98" w:rsidRPr="00B73E97">
        <w:rPr>
          <w:rFonts w:ascii="Sylfaen" w:hAnsi="Sylfaen"/>
          <w:lang w:val="ka-GE"/>
        </w:rPr>
        <w:t xml:space="preserve">  </w:t>
      </w:r>
    </w:p>
    <w:p w:rsidR="006042C4" w:rsidRPr="00B73E97" w:rsidRDefault="006042C4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2F5FB0" w:rsidRPr="00B73E97" w:rsidRDefault="002F5FB0" w:rsidP="00D62E87">
      <w:pPr>
        <w:spacing w:line="240" w:lineRule="auto"/>
        <w:rPr>
          <w:rFonts w:ascii="Sylfaen" w:hAnsi="Sylfaen"/>
          <w:b/>
          <w:lang w:val="ka-GE"/>
        </w:rPr>
      </w:pPr>
      <w:r w:rsidRPr="00B73E97">
        <w:rPr>
          <w:rFonts w:ascii="Sylfaen" w:hAnsi="Sylfaen"/>
          <w:b/>
          <w:lang w:val="ka-GE"/>
        </w:rPr>
        <w:br w:type="page"/>
      </w:r>
    </w:p>
    <w:p w:rsidR="00071D1D" w:rsidRDefault="00784855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B73E97">
        <w:rPr>
          <w:rFonts w:ascii="Sylfaen" w:hAnsi="Sylfaen"/>
          <w:b/>
          <w:lang w:val="ka-GE"/>
        </w:rPr>
        <w:lastRenderedPageBreak/>
        <w:t>მთავრობის</w:t>
      </w:r>
      <w:r w:rsidR="00071D1D" w:rsidRPr="00B73E97">
        <w:rPr>
          <w:rFonts w:ascii="Sylfaen" w:hAnsi="Sylfaen"/>
          <w:b/>
          <w:lang w:val="ka-GE"/>
        </w:rPr>
        <w:t xml:space="preserve"> საგარეო ვალის სტრუქტურა - </w:t>
      </w:r>
      <w:r w:rsidRPr="00B73E97">
        <w:rPr>
          <w:rFonts w:ascii="Sylfaen" w:hAnsi="Sylfaen"/>
          <w:b/>
          <w:lang w:val="ka-GE"/>
        </w:rPr>
        <w:t>20</w:t>
      </w:r>
      <w:r w:rsidR="00B71865" w:rsidRPr="00B73E97">
        <w:rPr>
          <w:rFonts w:ascii="Sylfaen" w:hAnsi="Sylfaen"/>
          <w:b/>
        </w:rPr>
        <w:t>2</w:t>
      </w:r>
      <w:r w:rsidR="00C76853">
        <w:rPr>
          <w:rFonts w:ascii="Sylfaen" w:hAnsi="Sylfaen"/>
          <w:b/>
          <w:lang w:val="ka-GE"/>
        </w:rPr>
        <w:t>1</w:t>
      </w:r>
      <w:r w:rsidR="00E46C45" w:rsidRPr="00B73E97">
        <w:rPr>
          <w:rFonts w:ascii="Sylfaen" w:hAnsi="Sylfaen"/>
          <w:b/>
          <w:lang w:val="ka-GE"/>
        </w:rPr>
        <w:t xml:space="preserve"> წლის </w:t>
      </w:r>
      <w:r w:rsidR="007350CD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>31</w:t>
      </w:r>
      <w:r w:rsidR="001757D3" w:rsidRPr="00B73E97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</w:t>
      </w:r>
      <w:r w:rsidR="001A4349">
        <w:rPr>
          <w:rFonts w:ascii="Sylfaen" w:hAnsi="Sylfaen" w:cs="Sylfaen"/>
          <w:b/>
          <w:szCs w:val="18"/>
          <w:shd w:val="clear" w:color="auto" w:fill="FFFFFF"/>
          <w:lang w:val="ka-GE"/>
        </w:rPr>
        <w:t>აგვისტოს</w:t>
      </w:r>
      <w:r w:rsidR="00E46C45" w:rsidRPr="00B73E97">
        <w:rPr>
          <w:rFonts w:ascii="Sylfaen" w:hAnsi="Sylfaen"/>
          <w:b/>
          <w:lang w:val="ka-GE"/>
        </w:rPr>
        <w:t xml:space="preserve"> </w:t>
      </w:r>
      <w:r w:rsidR="00071D1D" w:rsidRPr="00B73E97">
        <w:rPr>
          <w:rFonts w:ascii="Sylfaen" w:hAnsi="Sylfaen"/>
          <w:b/>
          <w:lang w:val="ka-GE"/>
        </w:rPr>
        <w:t>მდგომარეობით</w:t>
      </w:r>
    </w:p>
    <w:tbl>
      <w:tblPr>
        <w:tblW w:w="896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54"/>
        <w:gridCol w:w="774"/>
        <w:gridCol w:w="1109"/>
        <w:gridCol w:w="1062"/>
        <w:gridCol w:w="1178"/>
        <w:gridCol w:w="896"/>
        <w:gridCol w:w="987"/>
      </w:tblGrid>
      <w:tr w:rsidR="009D253F" w:rsidRPr="009D253F" w:rsidTr="009D253F">
        <w:trPr>
          <w:trHeight w:hRule="exact" w:val="701"/>
          <w:tblHeader/>
          <w:jc w:val="center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9D253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კრედიტორი</w:t>
            </w:r>
            <w:proofErr w:type="spellEnd"/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9D253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კრედიტის</w:t>
            </w:r>
            <w:proofErr w:type="spellEnd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ვალუტა</w:t>
            </w:r>
            <w:proofErr w:type="spellEnd"/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53F" w:rsidRPr="009D253F" w:rsidRDefault="009D253F" w:rsidP="009D253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ნაშთი</w:t>
            </w:r>
            <w:proofErr w:type="spellEnd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ათასი</w:t>
            </w:r>
            <w:proofErr w:type="spellEnd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  </w:t>
            </w:r>
            <w:proofErr w:type="spellStart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აშშ</w:t>
            </w:r>
            <w:proofErr w:type="spellEnd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დოლარი</w:t>
            </w:r>
            <w:proofErr w:type="spellEnd"/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9D253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ნაშთი</w:t>
            </w:r>
            <w:proofErr w:type="spellEnd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ათასი</w:t>
            </w:r>
            <w:proofErr w:type="spellEnd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  </w:t>
            </w:r>
            <w:proofErr w:type="spellStart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ლარი</w:t>
            </w:r>
            <w:proofErr w:type="spellEnd"/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9D253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საპროცენტო</w:t>
            </w:r>
            <w:proofErr w:type="spellEnd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განაკვეთი</w:t>
            </w:r>
            <w:proofErr w:type="spellEnd"/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253F" w:rsidRPr="00E8165B" w:rsidRDefault="009D253F" w:rsidP="009D253F">
            <w:pPr>
              <w:jc w:val="center"/>
              <w:rPr>
                <w:rFonts w:ascii="Calibri" w:hAnsi="Calibri" w:cs="Calibri"/>
                <w:b/>
                <w:bCs/>
                <w:sz w:val="12"/>
                <w:szCs w:val="12"/>
              </w:rPr>
            </w:pPr>
            <w:proofErr w:type="spellStart"/>
            <w:r w:rsidRPr="00E8165B">
              <w:rPr>
                <w:rFonts w:ascii="Calibri" w:hAnsi="Calibri" w:cs="Calibri"/>
                <w:b/>
                <w:bCs/>
                <w:sz w:val="12"/>
                <w:szCs w:val="12"/>
              </w:rPr>
              <w:t>საპროცენტო</w:t>
            </w:r>
            <w:proofErr w:type="spellEnd"/>
            <w:r w:rsidRPr="00E8165B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E8165B">
              <w:rPr>
                <w:rFonts w:ascii="Calibri" w:hAnsi="Calibri" w:cs="Calibri"/>
                <w:b/>
                <w:bCs/>
                <w:sz w:val="12"/>
                <w:szCs w:val="12"/>
              </w:rPr>
              <w:t>განაკვეთი</w:t>
            </w:r>
            <w:proofErr w:type="spellEnd"/>
            <w:r w:rsidRPr="00E8165B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E8165B">
              <w:rPr>
                <w:rFonts w:ascii="Calibri" w:hAnsi="Calibri" w:cs="Calibri"/>
                <w:b/>
                <w:bCs/>
                <w:sz w:val="12"/>
                <w:szCs w:val="12"/>
              </w:rPr>
              <w:t>მოცემული</w:t>
            </w:r>
            <w:proofErr w:type="spellEnd"/>
            <w:r w:rsidRPr="00E8165B">
              <w:rPr>
                <w:rFonts w:ascii="Calibri" w:hAnsi="Calibri" w:cs="Calibri"/>
                <w:b/>
                <w:bCs/>
                <w:sz w:val="12"/>
                <w:szCs w:val="12"/>
              </w:rPr>
              <w:t xml:space="preserve"> </w:t>
            </w:r>
            <w:proofErr w:type="spellStart"/>
            <w:r w:rsidRPr="00E8165B">
              <w:rPr>
                <w:rFonts w:ascii="Calibri" w:hAnsi="Calibri" w:cs="Calibri"/>
                <w:b/>
                <w:bCs/>
                <w:sz w:val="12"/>
                <w:szCs w:val="12"/>
              </w:rPr>
              <w:t>თარიღისათვის</w:t>
            </w:r>
            <w:proofErr w:type="spellEnd"/>
          </w:p>
        </w:tc>
        <w:tc>
          <w:tcPr>
            <w:tcW w:w="7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9D253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შეწონილი</w:t>
            </w:r>
            <w:proofErr w:type="spellEnd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საპროცენტო</w:t>
            </w:r>
            <w:proofErr w:type="spellEnd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განაკვეთი</w:t>
            </w:r>
            <w:proofErr w:type="spellEnd"/>
          </w:p>
        </w:tc>
      </w:tr>
      <w:tr w:rsidR="009D253F" w:rsidRPr="009D253F" w:rsidTr="009D253F">
        <w:trPr>
          <w:trHeight w:hRule="exact" w:val="294"/>
          <w:jc w:val="center"/>
        </w:trPr>
        <w:tc>
          <w:tcPr>
            <w:tcW w:w="37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მთავრობის</w:t>
            </w:r>
            <w:proofErr w:type="spellEnd"/>
            <w:r w:rsidRPr="009D253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საგარეო</w:t>
            </w:r>
            <w:proofErr w:type="spellEnd"/>
            <w:r w:rsidRPr="009D253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ვალი</w:t>
            </w:r>
            <w:proofErr w:type="spellEnd"/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D253F" w:rsidRPr="009D253F" w:rsidRDefault="00D26C1A" w:rsidP="00CE433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7,567,741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</w:pPr>
            <w:r w:rsidRPr="009D253F">
              <w:rPr>
                <w:rFonts w:ascii="Calibri" w:hAnsi="Calibri" w:cs="Calibri"/>
                <w:b/>
                <w:bCs/>
                <w:i/>
                <w:iCs/>
                <w:sz w:val="16"/>
                <w:szCs w:val="16"/>
              </w:rPr>
              <w:t>23,588,650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9D253F"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9D253F"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</w:pPr>
            <w:r w:rsidRPr="009D253F">
              <w:rPr>
                <w:rFonts w:ascii="Calibri" w:hAnsi="Calibri" w:cs="Calibri"/>
                <w:b/>
                <w:bCs/>
                <w:i/>
                <w:iCs/>
                <w:color w:val="C00000"/>
                <w:sz w:val="16"/>
                <w:szCs w:val="16"/>
              </w:rPr>
              <w:t> </w:t>
            </w:r>
          </w:p>
        </w:tc>
      </w:tr>
      <w:tr w:rsidR="009D253F" w:rsidRPr="009D253F" w:rsidTr="009D253F">
        <w:trPr>
          <w:trHeight w:hRule="exact" w:val="341"/>
          <w:jc w:val="center"/>
        </w:trPr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მრავალმხრივი</w:t>
            </w:r>
            <w:proofErr w:type="spellEnd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5,495,150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17,128,383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განვითარების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საერთაშორისო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ასოციაცია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>(WB - IDA)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620,295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1,933,460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0.061%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236,245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736,375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0.062%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8,785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27,383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2.15%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განვითარების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საერთაშორისო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ასოციაცია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>(WB - IBRD)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106,164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330,912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1.39%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0.019%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85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264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0.20%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121,678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379,269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0.51%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90,495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282,074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0.72%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518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1,615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0.83%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154,623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481,960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Libor+VS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0.48%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0.010%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40,996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127,784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0.68%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288,823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900,262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0.88%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0.034%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54,755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170,671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0.92%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60,895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189,809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0.95%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60,042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187,151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1.10%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28,222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87,967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1.18%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49,045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152,874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1.21%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6,795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21,181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1.24%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120,000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374,040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1.25%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0.020%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სოფლის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მეურნეობის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განვითარების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საერთაშორისო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ფონდი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(IFAD)</w:t>
            </w:r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17,658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55,041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11,030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34,380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3,501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10,912.13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(SDR Libor + IBRD VS)/2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0.71%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5,704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17,780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1.02%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9D253F" w:rsidRPr="009D253F" w:rsidTr="009D253F">
        <w:trPr>
          <w:trHeight w:hRule="exact" w:val="448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საერთაშორისო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სავალუტო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ფონდი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(IMF EFF,MOF)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209,366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652,593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SDR Rate of Charge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1.05%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0.029%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ევროგაერთიანება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r w:rsidRPr="009D253F">
              <w:rPr>
                <w:rFonts w:ascii="Calibri" w:hAnsi="Calibri" w:cs="Calibri"/>
                <w:color w:val="000000"/>
                <w:sz w:val="16"/>
                <w:szCs w:val="16"/>
              </w:rPr>
              <w:t>(EU)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112,062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349,296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0.13%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11,796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36,768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0.52%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15,335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47,798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1.16%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17,694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55,152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1.25%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9D253F" w:rsidRPr="009D253F" w:rsidTr="009D253F">
        <w:trPr>
          <w:trHeight w:hRule="exact" w:val="493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ევროპის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რეკონსტრუქციის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და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განვითარების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ბანკი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(EBRD)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236,840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738,230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Euribor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>+ 1%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0.92%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0.029%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აზიის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განვითარების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ბანკი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(ADB)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SDR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60,091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187,303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1.00%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312,247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973,275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1.50%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0.062%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31,915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99,478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1.60%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218,942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682,444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0.058%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108,879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339,376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0.23%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83,704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260,906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0.32%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201,502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628,082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0.38%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0.010%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19,807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61,739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Euribor+FS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136,936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426,831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0.20%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127,407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397,128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0.21%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50,034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155,955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0.63%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571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1,779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0.67%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37,500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116,888</w:t>
            </w:r>
          </w:p>
        </w:tc>
        <w:tc>
          <w:tcPr>
            <w:tcW w:w="120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Libor+FS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0.50%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65,540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204,287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0.56%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41,667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129,875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0.66%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11,333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35,326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0.70%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66,346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206,800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0.77%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72,720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226,670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0.88%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48,162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150,121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0.90%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59,252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184,690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0.92%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აზიის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ინფრასტრუქტურის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განვითარების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ბანკი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(AIIB)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42,054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131,081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Libor+VS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1.68%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9D253F" w:rsidRPr="009D253F" w:rsidTr="009D253F">
        <w:trPr>
          <w:trHeight w:hRule="exact" w:val="31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147,718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460,437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ევროსაბჭოს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განვითარების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ბანკი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(CEB)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2,112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6,584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0.39%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253F" w:rsidRPr="009D253F" w:rsidTr="009D253F">
        <w:trPr>
          <w:trHeight w:hRule="exact" w:val="241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1,063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3,315</w:t>
            </w:r>
          </w:p>
        </w:tc>
        <w:tc>
          <w:tcPr>
            <w:tcW w:w="12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ევროპის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საინვესტიციო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ბანკი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>(EIB)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100,266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312,528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0.33%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33,618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104,789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0.49%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76,674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238,992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0.59%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4,320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13,466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0.86%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33,443</w:t>
            </w:r>
          </w:p>
        </w:tc>
        <w:tc>
          <w:tcPr>
            <w:tcW w:w="0" w:type="auto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104,243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1.00%</w:t>
            </w:r>
          </w:p>
        </w:tc>
        <w:tc>
          <w:tcPr>
            <w:tcW w:w="0" w:type="auto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60,159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187,517</w:t>
            </w:r>
          </w:p>
        </w:tc>
        <w:tc>
          <w:tcPr>
            <w:tcW w:w="0" w:type="auto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1.65%</w:t>
            </w:r>
          </w:p>
        </w:tc>
        <w:tc>
          <w:tcPr>
            <w:tcW w:w="0" w:type="auto"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0.013%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36,453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113,625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1.69%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23,592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73,536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1.94%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362,726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1,130,616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Euribor+FS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61,636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192,119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0.23%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12,020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37,467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0.24%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10,411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32,451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0.30%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37,126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115,722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0.31%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3,539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11,030</w:t>
            </w:r>
          </w:p>
        </w:tc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0.34%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253F" w:rsidRPr="009D253F" w:rsidTr="00D26C1A">
        <w:trPr>
          <w:trHeight w:hRule="exact" w:val="448"/>
          <w:jc w:val="center"/>
        </w:trPr>
        <w:tc>
          <w:tcPr>
            <w:tcW w:w="3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სკანდინავიური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გარემოსდაცვის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საფინანსო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კორპორაცია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(NEFCO)  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2,217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6,911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Euribor+VS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ორმხრივი</w:t>
            </w:r>
            <w:proofErr w:type="spellEnd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კრედიტორები</w:t>
            </w:r>
            <w:proofErr w:type="spellEnd"/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1,571,029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4,896,898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3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ავსტრია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17,757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55,349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1.00%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3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აზერბაიჯანი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4,400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13,715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თურქმენეთი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658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4.00%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3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თურქეთი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8,529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26,585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3.13%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ირანი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3,265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10,177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3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რუსეთი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31,570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98,403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4.00%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0.017%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სომხეთი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4,210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13,121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3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უზბეკეთი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82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უკრაინა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75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32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ყაზახეთი</w:t>
            </w:r>
            <w:proofErr w:type="spellEnd"/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5,374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16,750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4.00%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ჩინეთი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CNY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464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1,446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გერმანია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KfW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4,444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13,851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Euribor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>+ 0.3%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128,576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400,771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Euribor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>+ 0.72%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0.004%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106,164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330,912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0.009%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121,295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378,077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0.012%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212,327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661,824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0.85%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0.024%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30,965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96,517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1.65%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48,645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151,627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0.013%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21,629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67,417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2.20%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11,289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35,187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4.20%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0.006%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20,643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64,344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5.70%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0.016%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7,508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23,403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6.68%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0.007%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იაპონია</w:t>
            </w:r>
            <w:proofErr w:type="spellEnd"/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JPY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25,816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80,468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0.01%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131,187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408,910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0.65%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0.011%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963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3,002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1.30%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25,654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79,963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1.40%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15,376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47,927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2.30%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0.005%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კუვეიტი</w:t>
            </w:r>
            <w:proofErr w:type="spellEnd"/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KWD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2,506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7,810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2.50%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6,180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19,264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3.00%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ნიდერლანდები</w:t>
            </w:r>
            <w:proofErr w:type="spellEnd"/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316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4.20%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404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5.10%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3220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აშშ</w:t>
            </w:r>
            <w:proofErr w:type="spellEnd"/>
          </w:p>
        </w:tc>
        <w:tc>
          <w:tcPr>
            <w:tcW w:w="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119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1.50%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6,256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19,499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2.00%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3,057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9,530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2.25%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0.001%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5,360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16,707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2.50%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3220" w:type="dxa"/>
            <w:vMerge w:val="restar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საფრანგეთი</w:t>
            </w:r>
            <w:proofErr w:type="spellEnd"/>
          </w:p>
        </w:tc>
        <w:tc>
          <w:tcPr>
            <w:tcW w:w="56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14,020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43,699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0.17%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224,123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698,592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0.42%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0.012%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21,334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66,499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1.10%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10,736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33,463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1.27%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0.002%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17,039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53,109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1.41%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253,613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790,512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Euribor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+ 0.6%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0.25%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0.008%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9D253F" w:rsidRPr="009D253F" w:rsidRDefault="009D253F" w:rsidP="00CE433A">
            <w:pPr>
              <w:rPr>
                <w:rFonts w:ascii="Calibri" w:hAnsi="Calibri" w:cs="Calibri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18,226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56,812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Euribor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+ 1.05%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1.05%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0.003%</w:t>
            </w:r>
          </w:p>
        </w:tc>
      </w:tr>
      <w:tr w:rsidR="009D253F" w:rsidRPr="009D253F" w:rsidTr="009D253F">
        <w:trPr>
          <w:trHeight w:hRule="exact" w:val="269"/>
          <w:jc w:val="center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ფასიანი</w:t>
            </w:r>
            <w:proofErr w:type="spellEnd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ქაღალდები</w:t>
            </w:r>
            <w:proofErr w:type="spellEnd"/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500,000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1,558,500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9D253F" w:rsidRPr="009D253F" w:rsidTr="009D253F">
        <w:trPr>
          <w:trHeight w:hRule="exact" w:val="359"/>
          <w:jc w:val="center"/>
        </w:trPr>
        <w:tc>
          <w:tcPr>
            <w:tcW w:w="3220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7E2AD7" w:rsidRDefault="007E2AD7" w:rsidP="009D253F">
            <w:pPr>
              <w:rPr>
                <w:rFonts w:ascii="Calibri" w:hAnsi="Calibri" w:cs="Calibri"/>
                <w:sz w:val="16"/>
                <w:szCs w:val="16"/>
                <w:lang w:val="ka-GE"/>
              </w:rPr>
            </w:pPr>
            <w:proofErr w:type="spellStart"/>
            <w:r>
              <w:rPr>
                <w:rFonts w:ascii="Calibri" w:hAnsi="Calibri" w:cs="Calibri"/>
                <w:sz w:val="16"/>
                <w:szCs w:val="16"/>
              </w:rPr>
              <w:t>ევრო</w:t>
            </w:r>
            <w:proofErr w:type="spellEnd"/>
            <w:r>
              <w:rPr>
                <w:rFonts w:ascii="Calibri" w:hAnsi="Calibri" w:cs="Calibri"/>
                <w:sz w:val="16"/>
                <w:szCs w:val="16"/>
                <w:lang w:val="ka-GE"/>
              </w:rPr>
              <w:t>ბონდი</w:t>
            </w:r>
          </w:p>
        </w:tc>
        <w:tc>
          <w:tcPr>
            <w:tcW w:w="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USD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500,000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1,558,500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2.750%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0.182%</w:t>
            </w:r>
          </w:p>
        </w:tc>
      </w:tr>
      <w:tr w:rsidR="009D253F" w:rsidRPr="009D253F" w:rsidTr="009D253F">
        <w:trPr>
          <w:trHeight w:hRule="exact" w:val="368"/>
          <w:jc w:val="center"/>
        </w:trPr>
        <w:tc>
          <w:tcPr>
            <w:tcW w:w="3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გარანტირებული</w:t>
            </w:r>
            <w:proofErr w:type="spellEnd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კრედიტები</w:t>
            </w:r>
            <w:proofErr w:type="spellEnd"/>
          </w:p>
        </w:tc>
        <w:tc>
          <w:tcPr>
            <w:tcW w:w="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1,562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4,869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</w:rPr>
            </w:pPr>
            <w:r w:rsidRPr="009D253F">
              <w:rPr>
                <w:rFonts w:ascii="Calibri" w:hAnsi="Calibri" w:cs="Calibri"/>
                <w:b/>
                <w:bCs/>
                <w:sz w:val="16"/>
                <w:szCs w:val="16"/>
              </w:rPr>
              <w:t> </w:t>
            </w:r>
          </w:p>
        </w:tc>
      </w:tr>
      <w:tr w:rsidR="009D253F" w:rsidRPr="009D253F" w:rsidTr="009D253F">
        <w:trPr>
          <w:trHeight w:hRule="exact" w:val="216"/>
          <w:jc w:val="center"/>
        </w:trPr>
        <w:tc>
          <w:tcPr>
            <w:tcW w:w="3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გერმანია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 xml:space="preserve"> (</w:t>
            </w:r>
            <w:proofErr w:type="spellStart"/>
            <w:r w:rsidRPr="009D253F">
              <w:rPr>
                <w:rFonts w:ascii="Calibri" w:hAnsi="Calibri" w:cs="Calibri"/>
                <w:sz w:val="16"/>
                <w:szCs w:val="16"/>
              </w:rPr>
              <w:t>KfW</w:t>
            </w:r>
            <w:proofErr w:type="spellEnd"/>
            <w:r w:rsidRPr="009D253F">
              <w:rPr>
                <w:rFonts w:ascii="Calibri" w:hAnsi="Calibri" w:cs="Calibri"/>
                <w:sz w:val="16"/>
                <w:szCs w:val="16"/>
              </w:rPr>
              <w:t>)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EUR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1,562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4,869</w:t>
            </w:r>
          </w:p>
        </w:tc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Fixed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0.75%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0.000%</w:t>
            </w:r>
          </w:p>
        </w:tc>
      </w:tr>
      <w:tr w:rsidR="009D253F" w:rsidRPr="009D253F" w:rsidTr="009D253F">
        <w:trPr>
          <w:trHeight w:hRule="exact" w:val="323"/>
          <w:jc w:val="center"/>
        </w:trPr>
        <w:tc>
          <w:tcPr>
            <w:tcW w:w="0" w:type="auto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9D253F" w:rsidRPr="009D253F" w:rsidRDefault="009D253F" w:rsidP="009D253F">
            <w:pPr>
              <w:rPr>
                <w:rFonts w:ascii="Calibri" w:hAnsi="Calibri" w:cs="Calibri"/>
                <w:sz w:val="16"/>
                <w:szCs w:val="16"/>
              </w:rPr>
            </w:pPr>
            <w:r w:rsidRPr="009D253F">
              <w:rPr>
                <w:rFonts w:ascii="Calibri" w:hAnsi="Calibri" w:cs="Calibri"/>
                <w:sz w:val="16"/>
                <w:szCs w:val="16"/>
              </w:rPr>
              <w:t> </w:t>
            </w:r>
          </w:p>
        </w:tc>
        <w:tc>
          <w:tcPr>
            <w:tcW w:w="0" w:type="auto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2F2F2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proofErr w:type="spellStart"/>
            <w:r w:rsidRPr="009D253F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საშუალო</w:t>
            </w:r>
            <w:proofErr w:type="spellEnd"/>
            <w:r w:rsidRPr="009D253F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შეწონილი</w:t>
            </w:r>
            <w:proofErr w:type="spellEnd"/>
            <w:r w:rsidRPr="009D253F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საპროცენტო</w:t>
            </w:r>
            <w:proofErr w:type="spellEnd"/>
            <w:r w:rsidRPr="009D253F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 xml:space="preserve"> </w:t>
            </w:r>
            <w:proofErr w:type="spellStart"/>
            <w:r w:rsidRPr="009D253F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განაკვეთი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center"/>
            <w:hideMark/>
          </w:tcPr>
          <w:p w:rsidR="009D253F" w:rsidRPr="009D253F" w:rsidRDefault="009D253F" w:rsidP="00CE433A">
            <w:pPr>
              <w:jc w:val="center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 w:rsidRPr="009D253F"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  <w:t>0.98%</w:t>
            </w:r>
          </w:p>
        </w:tc>
      </w:tr>
    </w:tbl>
    <w:p w:rsidR="002E358C" w:rsidRPr="00B73E97" w:rsidRDefault="002E358C" w:rsidP="00D62E87">
      <w:pPr>
        <w:tabs>
          <w:tab w:val="left" w:pos="360"/>
        </w:tabs>
        <w:spacing w:after="0" w:line="240" w:lineRule="auto"/>
        <w:jc w:val="center"/>
        <w:rPr>
          <w:rFonts w:ascii="Sylfaen" w:hAnsi="Sylfaen"/>
          <w:b/>
          <w:lang w:val="ka-GE"/>
        </w:rPr>
      </w:pPr>
    </w:p>
    <w:p w:rsidR="009139F2" w:rsidRPr="00527AC4" w:rsidRDefault="009139F2" w:rsidP="00C76853">
      <w:pPr>
        <w:tabs>
          <w:tab w:val="left" w:pos="360"/>
        </w:tabs>
        <w:spacing w:after="0" w:line="240" w:lineRule="auto"/>
        <w:jc w:val="center"/>
        <w:rPr>
          <w:rFonts w:ascii="Sylfaen" w:hAnsi="Sylfaen" w:cs="Sylfaen"/>
          <w:szCs w:val="21"/>
          <w:shd w:val="clear" w:color="auto" w:fill="FFFFFF"/>
          <w:lang w:val="ka-GE"/>
        </w:rPr>
      </w:pPr>
    </w:p>
    <w:p w:rsidR="00A405DB" w:rsidRPr="00527AC4" w:rsidRDefault="000A05E4" w:rsidP="002A0BB1">
      <w:pPr>
        <w:pStyle w:val="Default"/>
        <w:ind w:firstLine="708"/>
        <w:jc w:val="both"/>
        <w:rPr>
          <w:color w:val="auto"/>
          <w:sz w:val="22"/>
          <w:szCs w:val="21"/>
          <w:shd w:val="clear" w:color="auto" w:fill="FFFFFF"/>
          <w:lang w:val="ka-GE"/>
        </w:rPr>
      </w:pPr>
      <w:r w:rsidRPr="00527AC4">
        <w:rPr>
          <w:color w:val="auto"/>
          <w:sz w:val="22"/>
          <w:szCs w:val="21"/>
          <w:shd w:val="clear" w:color="auto" w:fill="FFFFFF"/>
          <w:lang w:val="ka-GE"/>
        </w:rPr>
        <w:t>202</w:t>
      </w:r>
      <w:r w:rsidR="00C70518" w:rsidRPr="00527AC4">
        <w:rPr>
          <w:color w:val="auto"/>
          <w:sz w:val="22"/>
          <w:szCs w:val="21"/>
          <w:shd w:val="clear" w:color="auto" w:fill="FFFFFF"/>
          <w:lang w:val="ka-GE"/>
        </w:rPr>
        <w:t>2</w:t>
      </w:r>
      <w:r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 წლის სახელმწიფო ბიუჯეტის პროექტი ითვალისწინებს საერთაშორისო საფინანსო  ინსტიტუტებისა და უცხო ქვეყნების მთავრობების მიერ საქართველოსთვის გამოყოფილი გრძელვადიანი საინვესტიციო კრედიტების ათვისებას </w:t>
      </w:r>
      <w:r w:rsidR="00C70518" w:rsidRPr="00527AC4">
        <w:rPr>
          <w:color w:val="auto"/>
          <w:sz w:val="22"/>
          <w:szCs w:val="21"/>
          <w:shd w:val="clear" w:color="auto" w:fill="FFFFFF"/>
          <w:lang w:val="ka-GE"/>
        </w:rPr>
        <w:t>1 903 770.0</w:t>
      </w:r>
      <w:r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 ათასი ლარის ოდენობით. </w:t>
      </w:r>
      <w:r w:rsidR="002A0BB1"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ასევე, </w:t>
      </w:r>
      <w:r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 </w:t>
      </w:r>
      <w:r w:rsidRPr="00527AC4">
        <w:rPr>
          <w:color w:val="auto"/>
          <w:sz w:val="22"/>
          <w:szCs w:val="21"/>
          <w:shd w:val="clear" w:color="auto" w:fill="FFFFFF"/>
          <w:lang w:val="ka-GE"/>
        </w:rPr>
        <w:lastRenderedPageBreak/>
        <w:t>ბიუჯეტის მხარდამჭერი რესურსის სახით</w:t>
      </w:r>
      <w:r w:rsidR="00A405DB"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 თანხების მობილიზებას</w:t>
      </w:r>
      <w:r w:rsidR="00C70518"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 </w:t>
      </w:r>
      <w:r w:rsidR="00527AC4" w:rsidRPr="00527AC4">
        <w:rPr>
          <w:color w:val="auto"/>
          <w:sz w:val="22"/>
          <w:szCs w:val="21"/>
          <w:shd w:val="clear" w:color="auto" w:fill="FFFFFF"/>
          <w:lang w:val="ka-GE"/>
        </w:rPr>
        <w:t>1</w:t>
      </w:r>
      <w:r w:rsidR="00C70518"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 </w:t>
      </w:r>
      <w:r w:rsidR="00527AC4" w:rsidRPr="00527AC4">
        <w:rPr>
          <w:color w:val="auto"/>
          <w:sz w:val="22"/>
          <w:szCs w:val="21"/>
          <w:shd w:val="clear" w:color="auto" w:fill="FFFFFF"/>
          <w:lang w:val="ka-GE"/>
        </w:rPr>
        <w:t>2</w:t>
      </w:r>
      <w:r w:rsidR="00C70518" w:rsidRPr="00527AC4">
        <w:rPr>
          <w:color w:val="auto"/>
          <w:sz w:val="22"/>
          <w:szCs w:val="21"/>
          <w:shd w:val="clear" w:color="auto" w:fill="FFFFFF"/>
          <w:lang w:val="ka-GE"/>
        </w:rPr>
        <w:t>00</w:t>
      </w:r>
      <w:r w:rsidR="002A0BB1"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 000.0 </w:t>
      </w:r>
      <w:r w:rsidR="002D596E" w:rsidRPr="00527AC4">
        <w:rPr>
          <w:color w:val="auto"/>
          <w:sz w:val="22"/>
          <w:szCs w:val="21"/>
          <w:shd w:val="clear" w:color="auto" w:fill="FFFFFF"/>
          <w:lang w:val="ka-GE"/>
        </w:rPr>
        <w:t xml:space="preserve">ათასი </w:t>
      </w:r>
      <w:r w:rsidR="002A0BB1" w:rsidRPr="00527AC4">
        <w:rPr>
          <w:color w:val="auto"/>
          <w:sz w:val="22"/>
          <w:szCs w:val="21"/>
          <w:shd w:val="clear" w:color="auto" w:fill="FFFFFF"/>
          <w:lang w:val="ka-GE"/>
        </w:rPr>
        <w:t>ლარის მობილიზებას</w:t>
      </w:r>
      <w:r w:rsidR="00A405DB" w:rsidRPr="00527AC4">
        <w:rPr>
          <w:color w:val="auto"/>
          <w:sz w:val="22"/>
          <w:szCs w:val="21"/>
          <w:shd w:val="clear" w:color="auto" w:fill="FFFFFF"/>
          <w:lang w:val="ka-GE"/>
        </w:rPr>
        <w:t>:</w:t>
      </w:r>
    </w:p>
    <w:p w:rsidR="002D596E" w:rsidRPr="00527AC4" w:rsidRDefault="002D596E" w:rsidP="002A0BB1">
      <w:pPr>
        <w:pStyle w:val="Default"/>
        <w:ind w:firstLine="708"/>
        <w:jc w:val="both"/>
        <w:rPr>
          <w:color w:val="auto"/>
          <w:sz w:val="22"/>
          <w:szCs w:val="21"/>
          <w:shd w:val="clear" w:color="auto" w:fill="FFFFFF"/>
          <w:lang w:val="ka-GE"/>
        </w:rPr>
      </w:pPr>
    </w:p>
    <w:p w:rsidR="00030A9F" w:rsidRPr="00527AC4" w:rsidRDefault="00030A9F" w:rsidP="00527AC4">
      <w:pPr>
        <w:pStyle w:val="Normal22"/>
        <w:numPr>
          <w:ilvl w:val="0"/>
          <w:numId w:val="15"/>
        </w:numPr>
        <w:spacing w:after="0" w:line="240" w:lineRule="auto"/>
        <w:ind w:left="720"/>
        <w:jc w:val="both"/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</w:pPr>
      <w:r w:rsidRPr="00527AC4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 xml:space="preserve">ფისკალური მდგრადობის და სოციალური დაცვის პროგრამის ფარგლებში აზიის განვითარების ბანკიდან (ADB) მისაღები სახსრები - 318  000.0  ათასი ლარის ოდენობით;   </w:t>
      </w:r>
    </w:p>
    <w:p w:rsidR="00030A9F" w:rsidRPr="00527AC4" w:rsidRDefault="00030A9F" w:rsidP="00527AC4">
      <w:pPr>
        <w:pStyle w:val="Normal22"/>
        <w:numPr>
          <w:ilvl w:val="0"/>
          <w:numId w:val="15"/>
        </w:numPr>
        <w:spacing w:after="0" w:line="240" w:lineRule="auto"/>
        <w:ind w:left="720"/>
        <w:jc w:val="both"/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</w:pPr>
      <w:r w:rsidRPr="00527AC4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>წყალმომრაგებისა და წყალარინების სექტორის მდგრადი განვითარების პროგრამის ფარგლებში აზიის განვითარების ბანკიდან (ADB) მისაღები სახსრები - 150  000.0  ათასი ლარის ოდენობით;</w:t>
      </w:r>
    </w:p>
    <w:p w:rsidR="00030A9F" w:rsidRPr="00527AC4" w:rsidRDefault="00030A9F" w:rsidP="00527AC4">
      <w:pPr>
        <w:pStyle w:val="Normal22"/>
        <w:numPr>
          <w:ilvl w:val="0"/>
          <w:numId w:val="15"/>
        </w:numPr>
        <w:spacing w:after="0" w:line="240" w:lineRule="auto"/>
        <w:ind w:left="720"/>
        <w:jc w:val="both"/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</w:pPr>
      <w:r w:rsidRPr="00527AC4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>კლიმატზე მორგებული ირიგაციის სექტორის განვითარების პროგრამის ფარგლებში აზიის განვითარების ბანკიდან (ADB) მისაღები სახსრები - 190  320.0  ათასი ლარის ოდენობით;</w:t>
      </w:r>
    </w:p>
    <w:p w:rsidR="00030A9F" w:rsidRPr="00527AC4" w:rsidRDefault="00030A9F" w:rsidP="00527AC4">
      <w:pPr>
        <w:pStyle w:val="Normal22"/>
        <w:numPr>
          <w:ilvl w:val="0"/>
          <w:numId w:val="15"/>
        </w:numPr>
        <w:spacing w:after="0" w:line="240" w:lineRule="auto"/>
        <w:ind w:left="720"/>
        <w:jc w:val="both"/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</w:pPr>
      <w:r w:rsidRPr="00527AC4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>განვითარების პოლიტიკის ღონისძიება-2022 პროგრამის (DPO-2022)  ფარგლებში მსოფლიო ბანკიდან (WB) მისაღები სახსრები - 157 380.0  ათასი ლარის ოდენობით;</w:t>
      </w:r>
    </w:p>
    <w:p w:rsidR="00030A9F" w:rsidRPr="00527AC4" w:rsidRDefault="00030A9F" w:rsidP="00527AC4">
      <w:pPr>
        <w:pStyle w:val="Normal22"/>
        <w:numPr>
          <w:ilvl w:val="0"/>
          <w:numId w:val="15"/>
        </w:numPr>
        <w:spacing w:after="0" w:line="240" w:lineRule="auto"/>
        <w:ind w:left="720"/>
        <w:jc w:val="both"/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</w:pPr>
      <w:r w:rsidRPr="00527AC4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>სოციალური კეთილდღეობის პროგრამა-IV-ის ფარგლებში საფრანგეთის განვითარების სააგენტოდან (AFD) მისაღები სახსრები – 109 800.0 ათასი ლარის ოდენობით;</w:t>
      </w:r>
    </w:p>
    <w:p w:rsidR="00030A9F" w:rsidRPr="00527AC4" w:rsidRDefault="00030A9F" w:rsidP="00527AC4">
      <w:pPr>
        <w:pStyle w:val="Normal22"/>
        <w:numPr>
          <w:ilvl w:val="0"/>
          <w:numId w:val="15"/>
        </w:numPr>
        <w:spacing w:after="0" w:line="240" w:lineRule="auto"/>
        <w:ind w:left="720"/>
        <w:jc w:val="both"/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</w:pPr>
      <w:r w:rsidRPr="00527AC4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>წყალმომრაგებისა და წყალარინების სექტორის მდგრადი განვითარების პროგრამის ფარგლებში საფრანგეთის განვითარების სააგენტოდან (AFD) მისაღები სახსრები - 109 800.0  ათასი ლარის ოდენობით; (ADB-ს II ტრანშის თანადაფინანსება).</w:t>
      </w:r>
    </w:p>
    <w:p w:rsidR="00030A9F" w:rsidRPr="00527AC4" w:rsidRDefault="00030A9F" w:rsidP="00527AC4">
      <w:pPr>
        <w:pStyle w:val="Normal22"/>
        <w:numPr>
          <w:ilvl w:val="0"/>
          <w:numId w:val="15"/>
        </w:numPr>
        <w:spacing w:after="0" w:line="240" w:lineRule="auto"/>
        <w:ind w:left="720"/>
        <w:jc w:val="both"/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</w:pPr>
      <w:r w:rsidRPr="00527AC4">
        <w:rPr>
          <w:rFonts w:ascii="Sylfaen" w:eastAsiaTheme="minorHAnsi" w:hAnsi="Sylfaen" w:cs="Sylfaen"/>
          <w:sz w:val="22"/>
          <w:szCs w:val="21"/>
          <w:shd w:val="clear" w:color="auto" w:fill="FFFFFF"/>
          <w:lang w:val="ka-GE"/>
        </w:rPr>
        <w:t xml:space="preserve">საქართველოში ენერგეტიკის სექტორის რეფორმის პროგრამა- V-ის  ფარგლებში საფრანგეთის განვითარების სააგენტოდან (AFD) მისაღები სახსრები – 164 700.0 თასი ლარის ოდენობით; </w:t>
      </w:r>
    </w:p>
    <w:p w:rsidR="002D596E" w:rsidRPr="00754C45" w:rsidRDefault="002D596E" w:rsidP="002D596E">
      <w:pPr>
        <w:pStyle w:val="ListParagraph"/>
        <w:rPr>
          <w:rFonts w:ascii="Sylfaen" w:eastAsia="Sylfaen" w:hAnsi="Sylfaen" w:cs="Sylfaen"/>
          <w:color w:val="000000"/>
          <w:highlight w:val="yellow"/>
          <w:lang w:val="ka-GE"/>
        </w:rPr>
      </w:pPr>
    </w:p>
    <w:p w:rsidR="00C0485E" w:rsidRPr="000F487B" w:rsidRDefault="000A05E4" w:rsidP="00C0485E">
      <w:pPr>
        <w:ind w:firstLine="720"/>
        <w:jc w:val="both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0F487B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საგარეო ვალდებულებების მომსახურებისა და დაფარვისათვის საქართველოს 202</w:t>
      </w:r>
      <w:r w:rsidR="00C70518">
        <w:rPr>
          <w:rFonts w:ascii="Sylfaen" w:hAnsi="Sylfaen" w:cs="Sylfaen"/>
          <w:szCs w:val="21"/>
          <w:shd w:val="clear" w:color="auto" w:fill="FFFFFF"/>
        </w:rPr>
        <w:t>2</w:t>
      </w:r>
      <w:r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სახელმწიფო ბიუჯეტის პროექტით </w:t>
      </w:r>
      <w:r w:rsidRPr="00C70518">
        <w:rPr>
          <w:rFonts w:ascii="Sylfaen" w:hAnsi="Sylfaen" w:cs="Sylfaen"/>
          <w:szCs w:val="21"/>
          <w:shd w:val="clear" w:color="auto" w:fill="FFFFFF"/>
          <w:lang w:val="ka-GE"/>
        </w:rPr>
        <w:t>გათვალისწინებულია</w:t>
      </w:r>
      <w:r w:rsidRPr="00C70518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C70518" w:rsidRPr="00C70518">
        <w:rPr>
          <w:rFonts w:ascii="Sylfaen" w:hAnsi="Sylfaen" w:cs="Sylfaen"/>
          <w:szCs w:val="21"/>
          <w:shd w:val="clear" w:color="auto" w:fill="FFFFFF"/>
        </w:rPr>
        <w:t>1</w:t>
      </w:r>
      <w:r w:rsidRPr="00C70518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C70518" w:rsidRPr="00C70518">
        <w:rPr>
          <w:rFonts w:ascii="Sylfaen" w:hAnsi="Sylfaen" w:cs="Sylfaen"/>
          <w:szCs w:val="21"/>
          <w:shd w:val="clear" w:color="auto" w:fill="FFFFFF"/>
        </w:rPr>
        <w:t>440</w:t>
      </w:r>
      <w:r w:rsidRPr="00C70518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483895" w:rsidRPr="00C70518">
        <w:rPr>
          <w:rFonts w:ascii="Sylfaen" w:hAnsi="Sylfaen" w:cs="Sylfaen"/>
          <w:szCs w:val="21"/>
          <w:shd w:val="clear" w:color="auto" w:fill="FFFFFF"/>
        </w:rPr>
        <w:t>0</w:t>
      </w:r>
      <w:r w:rsidRPr="00C70518">
        <w:rPr>
          <w:rFonts w:ascii="Sylfaen" w:hAnsi="Sylfaen" w:cs="Sylfaen"/>
          <w:szCs w:val="21"/>
          <w:shd w:val="clear" w:color="auto" w:fill="FFFFFF"/>
        </w:rPr>
        <w:t>00</w:t>
      </w:r>
      <w:r w:rsidR="00C70518" w:rsidRPr="00C70518">
        <w:rPr>
          <w:rFonts w:ascii="Sylfaen" w:hAnsi="Sylfaen" w:cs="Sylfaen"/>
          <w:szCs w:val="21"/>
          <w:shd w:val="clear" w:color="auto" w:fill="FFFFFF"/>
          <w:lang w:val="ka-GE"/>
        </w:rPr>
        <w:t>.0</w:t>
      </w:r>
      <w:r w:rsidRPr="00C70518">
        <w:rPr>
          <w:rFonts w:ascii="Sylfaen" w:hAnsi="Sylfaen" w:cs="Sylfaen"/>
          <w:szCs w:val="21"/>
          <w:shd w:val="clear" w:color="auto" w:fill="FFFFFF"/>
          <w:lang w:val="ka-GE"/>
        </w:rPr>
        <w:t xml:space="preserve"> ათასი ლარი, </w:t>
      </w:r>
      <w:proofErr w:type="spellStart"/>
      <w:r w:rsidRPr="00041224">
        <w:rPr>
          <w:rFonts w:ascii="Sylfaen" w:hAnsi="Sylfaen" w:cs="Sylfaen"/>
          <w:szCs w:val="21"/>
          <w:shd w:val="clear" w:color="auto" w:fill="FFFFFF"/>
        </w:rPr>
        <w:t>საიდანაც</w:t>
      </w:r>
      <w:proofErr w:type="spellEnd"/>
      <w:r w:rsidRPr="00041224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C70518" w:rsidRPr="00041224">
        <w:rPr>
          <w:rFonts w:ascii="Sylfaen" w:hAnsi="Sylfaen" w:cs="Sylfaen"/>
          <w:szCs w:val="21"/>
          <w:shd w:val="clear" w:color="auto" w:fill="FFFFFF"/>
        </w:rPr>
        <w:t>1 190 000.0</w:t>
      </w:r>
      <w:r w:rsidR="00C70518" w:rsidRPr="00C70518">
        <w:rPr>
          <w:szCs w:val="24"/>
        </w:rPr>
        <w:t xml:space="preserve"> </w:t>
      </w:r>
      <w:r w:rsidRPr="00C70518">
        <w:rPr>
          <w:rFonts w:ascii="Sylfaen" w:hAnsi="Sylfaen" w:cs="Sylfaen"/>
          <w:szCs w:val="21"/>
          <w:shd w:val="clear" w:color="auto" w:fill="FFFFFF"/>
          <w:lang w:val="ka-GE"/>
        </w:rPr>
        <w:t xml:space="preserve">ათასი ლარი წარმოადგენს ძირითადი თანხის დაფარვას, </w:t>
      </w:r>
      <w:proofErr w:type="spellStart"/>
      <w:r w:rsidRPr="00041224">
        <w:rPr>
          <w:rFonts w:ascii="Sylfaen" w:hAnsi="Sylfaen" w:cs="Sylfaen"/>
          <w:szCs w:val="21"/>
          <w:shd w:val="clear" w:color="auto" w:fill="FFFFFF"/>
        </w:rPr>
        <w:t>ხოლო</w:t>
      </w:r>
      <w:proofErr w:type="spellEnd"/>
      <w:r w:rsidRPr="00041224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C70518" w:rsidRPr="00041224">
        <w:rPr>
          <w:rFonts w:ascii="Sylfaen" w:hAnsi="Sylfaen" w:cs="Sylfaen"/>
          <w:szCs w:val="21"/>
          <w:shd w:val="clear" w:color="auto" w:fill="FFFFFF"/>
        </w:rPr>
        <w:t xml:space="preserve">250 000.0 </w:t>
      </w:r>
      <w:proofErr w:type="spellStart"/>
      <w:r w:rsidRPr="00041224">
        <w:rPr>
          <w:rFonts w:ascii="Sylfaen" w:hAnsi="Sylfaen" w:cs="Sylfaen"/>
          <w:szCs w:val="21"/>
          <w:shd w:val="clear" w:color="auto" w:fill="FFFFFF"/>
        </w:rPr>
        <w:t>ათასი</w:t>
      </w:r>
      <w:proofErr w:type="spellEnd"/>
      <w:r w:rsidRPr="00C70518">
        <w:rPr>
          <w:rFonts w:ascii="Sylfaen" w:hAnsi="Sylfaen" w:cs="Sylfaen"/>
          <w:szCs w:val="21"/>
          <w:shd w:val="clear" w:color="auto" w:fill="FFFFFF"/>
          <w:lang w:val="ka-GE"/>
        </w:rPr>
        <w:t xml:space="preserve"> ლარი - პროცენტის თანხას.</w:t>
      </w:r>
    </w:p>
    <w:p w:rsidR="00A67E3A" w:rsidRPr="000F487B" w:rsidRDefault="00A67E3A" w:rsidP="00C0485E">
      <w:pPr>
        <w:spacing w:after="0" w:line="240" w:lineRule="auto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0F487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საგარეო ვალდებულებების მომსახურება და დაფარვა </w:t>
      </w:r>
      <w:r w:rsidRPr="000F487B">
        <w:rPr>
          <w:rFonts w:ascii="Sylfaen" w:hAnsi="Sylfaen"/>
          <w:b/>
          <w:sz w:val="20"/>
          <w:szCs w:val="20"/>
          <w:lang w:val="ka-GE"/>
        </w:rPr>
        <w:t>202</w:t>
      </w:r>
      <w:r w:rsidR="00C70518">
        <w:rPr>
          <w:rFonts w:ascii="Sylfaen" w:hAnsi="Sylfaen"/>
          <w:b/>
          <w:sz w:val="20"/>
          <w:szCs w:val="20"/>
        </w:rPr>
        <w:t>2</w:t>
      </w:r>
      <w:r w:rsidR="006D20E2" w:rsidRPr="000F487B">
        <w:rPr>
          <w:rFonts w:ascii="Sylfaen" w:hAnsi="Sylfaen"/>
          <w:b/>
          <w:sz w:val="20"/>
          <w:szCs w:val="20"/>
        </w:rPr>
        <w:t xml:space="preserve"> </w:t>
      </w:r>
      <w:r w:rsidRPr="000F487B">
        <w:rPr>
          <w:rFonts w:ascii="Sylfaen" w:hAnsi="Sylfaen"/>
          <w:b/>
          <w:sz w:val="20"/>
          <w:szCs w:val="20"/>
          <w:lang w:val="ka-GE"/>
        </w:rPr>
        <w:t>წლისთვის (პროგნოზი)</w:t>
      </w:r>
    </w:p>
    <w:p w:rsidR="00FB01F8" w:rsidRDefault="00FB01F8" w:rsidP="00A62747">
      <w:pPr>
        <w:tabs>
          <w:tab w:val="left" w:pos="0"/>
        </w:tabs>
        <w:spacing w:after="0" w:line="240" w:lineRule="auto"/>
        <w:ind w:right="1593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0F487B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ათასი ლარი</w:t>
      </w:r>
    </w:p>
    <w:tbl>
      <w:tblPr>
        <w:tblW w:w="6293" w:type="dxa"/>
        <w:jc w:val="center"/>
        <w:tblLook w:val="04A0" w:firstRow="1" w:lastRow="0" w:firstColumn="1" w:lastColumn="0" w:noHBand="0" w:noVBand="1"/>
      </w:tblPr>
      <w:tblGrid>
        <w:gridCol w:w="3145"/>
        <w:gridCol w:w="980"/>
        <w:gridCol w:w="1427"/>
        <w:gridCol w:w="1485"/>
      </w:tblGrid>
      <w:tr w:rsidR="00DC574F" w:rsidRPr="00B8692A" w:rsidTr="00DC574F">
        <w:trPr>
          <w:trHeight w:hRule="exact" w:val="484"/>
          <w:tblHeader/>
          <w:jc w:val="center"/>
        </w:trPr>
        <w:tc>
          <w:tcPr>
            <w:tcW w:w="31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B8692A">
              <w:rPr>
                <w:rFonts w:eastAsia="Times New Roman" w:cstheme="minorHAnsi"/>
                <w:b/>
                <w:bCs/>
                <w:sz w:val="18"/>
                <w:szCs w:val="18"/>
              </w:rPr>
              <w:t>კრედიტორები</w:t>
            </w:r>
            <w:proofErr w:type="spellEnd"/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B8692A">
              <w:rPr>
                <w:rFonts w:eastAsia="Times New Roman" w:cstheme="minorHAnsi"/>
                <w:b/>
                <w:bCs/>
                <w:sz w:val="18"/>
                <w:szCs w:val="18"/>
              </w:rPr>
              <w:t>ვალების</w:t>
            </w:r>
            <w:proofErr w:type="spellEnd"/>
            <w:r w:rsidRPr="00B8692A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B8692A">
              <w:rPr>
                <w:rFonts w:eastAsia="Times New Roman" w:cstheme="minorHAnsi"/>
                <w:b/>
                <w:bCs/>
                <w:sz w:val="18"/>
                <w:szCs w:val="18"/>
              </w:rPr>
              <w:t>დაფარვა</w:t>
            </w:r>
            <w:proofErr w:type="spellEnd"/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B8692A">
              <w:rPr>
                <w:rFonts w:eastAsia="Times New Roman" w:cstheme="minorHAnsi"/>
                <w:b/>
                <w:bCs/>
                <w:sz w:val="18"/>
                <w:szCs w:val="18"/>
              </w:rPr>
              <w:t>პროცენტი</w:t>
            </w:r>
            <w:proofErr w:type="spellEnd"/>
          </w:p>
        </w:tc>
        <w:tc>
          <w:tcPr>
            <w:tcW w:w="14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proofErr w:type="spellStart"/>
            <w:r w:rsidRPr="00B8692A">
              <w:rPr>
                <w:rFonts w:eastAsia="Times New Roman" w:cstheme="minorHAnsi"/>
                <w:b/>
                <w:bCs/>
                <w:sz w:val="18"/>
                <w:szCs w:val="18"/>
              </w:rPr>
              <w:t>სულ</w:t>
            </w:r>
            <w:proofErr w:type="spellEnd"/>
            <w:r w:rsidRPr="00B8692A">
              <w:rPr>
                <w:rFonts w:eastAsia="Times New Roman" w:cstheme="minorHAnsi"/>
                <w:b/>
                <w:bCs/>
                <w:sz w:val="18"/>
                <w:szCs w:val="18"/>
              </w:rPr>
              <w:t xml:space="preserve"> 2022</w:t>
            </w:r>
          </w:p>
        </w:tc>
      </w:tr>
      <w:tr w:rsidR="00DC574F" w:rsidRPr="00B8692A" w:rsidTr="00DC574F">
        <w:trPr>
          <w:trHeight w:hRule="exact" w:val="288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B8692A">
              <w:rPr>
                <w:rFonts w:eastAsia="Times New Roman" w:cstheme="minorHAnsi"/>
                <w:b/>
                <w:bCs/>
                <w:sz w:val="18"/>
                <w:szCs w:val="18"/>
              </w:rPr>
              <w:t>1,190,000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B8692A">
              <w:rPr>
                <w:rFonts w:eastAsia="Times New Roman" w:cstheme="minorHAnsi"/>
                <w:b/>
                <w:bCs/>
                <w:sz w:val="18"/>
                <w:szCs w:val="18"/>
              </w:rPr>
              <w:t>250,000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18"/>
                <w:szCs w:val="18"/>
              </w:rPr>
            </w:pPr>
            <w:r w:rsidRPr="00B8692A">
              <w:rPr>
                <w:rFonts w:eastAsia="Times New Roman" w:cstheme="minorHAnsi"/>
                <w:b/>
                <w:bCs/>
                <w:sz w:val="18"/>
                <w:szCs w:val="18"/>
              </w:rPr>
              <w:t>1,440,000</w:t>
            </w:r>
          </w:p>
        </w:tc>
      </w:tr>
      <w:tr w:rsidR="00DC574F" w:rsidRPr="00B8692A" w:rsidTr="00DC574F">
        <w:trPr>
          <w:trHeight w:hRule="exact" w:val="288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B8692A">
              <w:rPr>
                <w:rFonts w:eastAsia="Times New Roman" w:cstheme="minorHAnsi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5,000.0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540.0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5,540.0</w:t>
            </w:r>
          </w:p>
        </w:tc>
      </w:tr>
      <w:tr w:rsidR="00DC574F" w:rsidRPr="00B8692A" w:rsidTr="00DC574F">
        <w:trPr>
          <w:trHeight w:hRule="exact" w:val="288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B8692A">
              <w:rPr>
                <w:rFonts w:eastAsia="Times New Roman" w:cstheme="minorHAnsi"/>
                <w:sz w:val="18"/>
                <w:szCs w:val="18"/>
              </w:rPr>
              <w:t>კუვეიტი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2,900.0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1,130.0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4,030.0</w:t>
            </w:r>
          </w:p>
        </w:tc>
      </w:tr>
      <w:tr w:rsidR="00DC574F" w:rsidRPr="00B8692A" w:rsidTr="00DC574F">
        <w:trPr>
          <w:trHeight w:hRule="exact" w:val="288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B8692A">
              <w:rPr>
                <w:rFonts w:eastAsia="Times New Roman" w:cstheme="minorHAnsi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28,000.0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5,550.0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33,550.0</w:t>
            </w:r>
          </w:p>
        </w:tc>
      </w:tr>
      <w:tr w:rsidR="00DC574F" w:rsidRPr="00B8692A" w:rsidTr="00DC574F">
        <w:trPr>
          <w:trHeight w:hRule="exact" w:val="288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B8692A">
              <w:rPr>
                <w:rFonts w:eastAsia="Times New Roman" w:cstheme="minorHAnsi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203,000.0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23,350.0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226,350.0</w:t>
            </w:r>
          </w:p>
        </w:tc>
      </w:tr>
      <w:tr w:rsidR="00DC574F" w:rsidRPr="00B8692A" w:rsidTr="00DC574F">
        <w:trPr>
          <w:trHeight w:hRule="exact" w:val="288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B8692A">
              <w:rPr>
                <w:rFonts w:eastAsia="Times New Roman" w:cstheme="minorHAnsi"/>
                <w:sz w:val="18"/>
                <w:szCs w:val="18"/>
              </w:rPr>
              <w:t>აშშ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8,000.0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920.0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8,920.0</w:t>
            </w:r>
          </w:p>
        </w:tc>
      </w:tr>
      <w:tr w:rsidR="00DC574F" w:rsidRPr="00B8692A" w:rsidTr="00DC574F">
        <w:trPr>
          <w:trHeight w:hRule="exact" w:val="288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B8692A">
              <w:rPr>
                <w:rFonts w:eastAsia="Times New Roman" w:cstheme="minorHAnsi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3,000.0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330.0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3,330.0</w:t>
            </w:r>
          </w:p>
        </w:tc>
      </w:tr>
      <w:tr w:rsidR="00DC574F" w:rsidRPr="00B8692A" w:rsidTr="00DC574F">
        <w:trPr>
          <w:trHeight w:hRule="exact" w:val="288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B8692A">
              <w:rPr>
                <w:rFonts w:eastAsia="Times New Roman" w:cstheme="minorHAnsi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4,000.0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370.0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4,370.0</w:t>
            </w:r>
          </w:p>
        </w:tc>
      </w:tr>
      <w:tr w:rsidR="00DC574F" w:rsidRPr="00B8692A" w:rsidTr="00DC574F">
        <w:trPr>
          <w:trHeight w:hRule="exact" w:val="288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B8692A">
              <w:rPr>
                <w:rFonts w:eastAsia="Times New Roman" w:cstheme="minorHAnsi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2,300.0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270.0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2,570.0</w:t>
            </w:r>
          </w:p>
        </w:tc>
      </w:tr>
      <w:tr w:rsidR="00DC574F" w:rsidRPr="00B8692A" w:rsidTr="00DC574F">
        <w:trPr>
          <w:trHeight w:hRule="exact" w:val="288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B8692A">
              <w:rPr>
                <w:rFonts w:eastAsia="Times New Roman" w:cstheme="minorHAnsi"/>
                <w:sz w:val="18"/>
                <w:szCs w:val="18"/>
              </w:rPr>
              <w:t>ყაზახეთი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3,300.0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550.0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3,850.0</w:t>
            </w:r>
          </w:p>
        </w:tc>
      </w:tr>
      <w:tr w:rsidR="00DC574F" w:rsidRPr="00B8692A" w:rsidTr="00DC574F">
        <w:trPr>
          <w:trHeight w:hRule="exact" w:val="288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B8692A">
              <w:rPr>
                <w:rFonts w:eastAsia="Times New Roman" w:cstheme="minorHAnsi"/>
                <w:sz w:val="18"/>
                <w:szCs w:val="18"/>
              </w:rPr>
              <w:t>ნიდერლანდები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100.0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10.0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110.0</w:t>
            </w:r>
          </w:p>
        </w:tc>
      </w:tr>
      <w:tr w:rsidR="00DC574F" w:rsidRPr="00B8692A" w:rsidTr="00DC574F">
        <w:trPr>
          <w:trHeight w:hRule="exact" w:val="288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B8692A">
              <w:rPr>
                <w:rFonts w:eastAsia="Times New Roman" w:cstheme="minorHAnsi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20,800.0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3,500.0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24,300.0</w:t>
            </w:r>
          </w:p>
        </w:tc>
      </w:tr>
      <w:tr w:rsidR="00DC574F" w:rsidRPr="00B8692A" w:rsidTr="00DC574F">
        <w:trPr>
          <w:trHeight w:hRule="exact" w:val="288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B8692A">
              <w:rPr>
                <w:rFonts w:eastAsia="Times New Roman" w:cstheme="minorHAnsi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6,000.0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810.0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6,810.0</w:t>
            </w:r>
          </w:p>
        </w:tc>
      </w:tr>
      <w:tr w:rsidR="00DC574F" w:rsidRPr="00B8692A" w:rsidTr="00DC574F">
        <w:trPr>
          <w:trHeight w:hRule="exact" w:val="288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B8692A">
              <w:rPr>
                <w:rFonts w:eastAsia="Times New Roman" w:cstheme="minorHAnsi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74,000.0</w:t>
            </w:r>
          </w:p>
        </w:tc>
        <w:tc>
          <w:tcPr>
            <w:tcW w:w="1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8,420.0</w:t>
            </w:r>
          </w:p>
        </w:tc>
        <w:tc>
          <w:tcPr>
            <w:tcW w:w="14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82,420.0</w:t>
            </w:r>
          </w:p>
        </w:tc>
      </w:tr>
      <w:tr w:rsidR="00DC574F" w:rsidRPr="00B8692A" w:rsidTr="00DC574F">
        <w:trPr>
          <w:trHeight w:hRule="exact" w:val="288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B8692A">
              <w:rPr>
                <w:rFonts w:eastAsia="Times New Roman" w:cstheme="minorHAnsi"/>
                <w:sz w:val="18"/>
                <w:szCs w:val="18"/>
              </w:rPr>
              <w:t>ჩინეთი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1,500.0</w:t>
            </w:r>
          </w:p>
        </w:tc>
        <w:tc>
          <w:tcPr>
            <w:tcW w:w="1427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1485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1,500.0</w:t>
            </w:r>
          </w:p>
        </w:tc>
      </w:tr>
      <w:tr w:rsidR="00DC574F" w:rsidRPr="00B8692A" w:rsidTr="00DC574F">
        <w:trPr>
          <w:trHeight w:hRule="exact" w:val="288"/>
          <w:jc w:val="center"/>
        </w:trPr>
        <w:tc>
          <w:tcPr>
            <w:tcW w:w="314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B8692A">
              <w:rPr>
                <w:rFonts w:eastAsia="Times New Roman" w:cstheme="minorHAnsi"/>
                <w:sz w:val="18"/>
                <w:szCs w:val="18"/>
              </w:rPr>
              <w:t>თურქმენეთი</w:t>
            </w:r>
            <w:proofErr w:type="spellEnd"/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1427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12,800.0</w:t>
            </w:r>
          </w:p>
        </w:tc>
        <w:tc>
          <w:tcPr>
            <w:tcW w:w="1485" w:type="dxa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12,800.0</w:t>
            </w:r>
          </w:p>
        </w:tc>
      </w:tr>
      <w:tr w:rsidR="00DC574F" w:rsidRPr="00B8692A" w:rsidTr="00DC574F">
        <w:trPr>
          <w:trHeight w:hRule="exact" w:val="288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IDA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325,000.0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24,970.0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349,970.0</w:t>
            </w:r>
          </w:p>
        </w:tc>
      </w:tr>
      <w:tr w:rsidR="00DC574F" w:rsidRPr="00B8692A" w:rsidTr="00DC574F">
        <w:trPr>
          <w:trHeight w:hRule="exact" w:val="288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IBRD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50,900.0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40,670.0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91,570.0</w:t>
            </w:r>
          </w:p>
        </w:tc>
      </w:tr>
      <w:tr w:rsidR="00DC574F" w:rsidRPr="00B8692A" w:rsidTr="00DC574F">
        <w:trPr>
          <w:trHeight w:hRule="exact" w:val="288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IFAD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7,510.0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1,430.0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8,940.0</w:t>
            </w:r>
          </w:p>
        </w:tc>
      </w:tr>
      <w:tr w:rsidR="00DC574F" w:rsidRPr="00B8692A" w:rsidTr="00DC574F">
        <w:trPr>
          <w:trHeight w:hRule="exact" w:val="288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EBRD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71,840.0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12,420.0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84,260.0</w:t>
            </w:r>
          </w:p>
        </w:tc>
      </w:tr>
      <w:tr w:rsidR="00DC574F" w:rsidRPr="00B8692A" w:rsidTr="00DC574F">
        <w:trPr>
          <w:trHeight w:hRule="exact" w:val="288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EIB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46,900.0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11,840.0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58,740.0</w:t>
            </w:r>
          </w:p>
        </w:tc>
      </w:tr>
      <w:tr w:rsidR="00DC574F" w:rsidRPr="00B8692A" w:rsidTr="00DC574F">
        <w:trPr>
          <w:trHeight w:hRule="exact" w:val="288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ADB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324,950.0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44,720.0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369,670.0</w:t>
            </w:r>
          </w:p>
        </w:tc>
      </w:tr>
      <w:tr w:rsidR="00DC574F" w:rsidRPr="00B8692A" w:rsidTr="00DC574F">
        <w:trPr>
          <w:trHeight w:hRule="exact" w:val="288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IMF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7,030.0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7,030.0</w:t>
            </w:r>
          </w:p>
        </w:tc>
      </w:tr>
      <w:tr w:rsidR="00DC574F" w:rsidRPr="00B8692A" w:rsidTr="00DC574F">
        <w:trPr>
          <w:trHeight w:hRule="exact" w:val="288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lastRenderedPageBreak/>
              <w:t>EU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2,320.0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2,320.0</w:t>
            </w:r>
          </w:p>
        </w:tc>
      </w:tr>
      <w:tr w:rsidR="00DC574F" w:rsidRPr="00B8692A" w:rsidTr="00DC574F">
        <w:trPr>
          <w:trHeight w:hRule="exact" w:val="288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CEB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170.0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170.0</w:t>
            </w:r>
          </w:p>
        </w:tc>
      </w:tr>
      <w:tr w:rsidR="00DC574F" w:rsidRPr="00B8692A" w:rsidTr="00DC574F">
        <w:trPr>
          <w:trHeight w:hRule="exact" w:val="288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AIIB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1,720.0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1,720.0</w:t>
            </w:r>
          </w:p>
        </w:tc>
      </w:tr>
      <w:tr w:rsidR="00DC574F" w:rsidRPr="00B8692A" w:rsidTr="00DC574F">
        <w:trPr>
          <w:trHeight w:hRule="exact" w:val="288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NEFCO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1,000.0</w:t>
            </w:r>
          </w:p>
        </w:tc>
        <w:tc>
          <w:tcPr>
            <w:tcW w:w="1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160.0</w:t>
            </w:r>
          </w:p>
        </w:tc>
        <w:tc>
          <w:tcPr>
            <w:tcW w:w="14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1,160.0</w:t>
            </w:r>
          </w:p>
        </w:tc>
      </w:tr>
      <w:tr w:rsidR="00DC574F" w:rsidRPr="00B8692A" w:rsidTr="00DC574F">
        <w:trPr>
          <w:trHeight w:hRule="exact" w:val="288"/>
          <w:jc w:val="center"/>
        </w:trPr>
        <w:tc>
          <w:tcPr>
            <w:tcW w:w="314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rPr>
                <w:rFonts w:eastAsia="Times New Roman" w:cstheme="minorHAnsi"/>
                <w:sz w:val="18"/>
                <w:szCs w:val="18"/>
              </w:rPr>
            </w:pPr>
            <w:proofErr w:type="spellStart"/>
            <w:r w:rsidRPr="00B8692A">
              <w:rPr>
                <w:rFonts w:eastAsia="Times New Roman" w:cstheme="minorHAnsi"/>
                <w:sz w:val="18"/>
                <w:szCs w:val="18"/>
              </w:rPr>
              <w:t>ევრობონდი</w:t>
            </w:r>
            <w:proofErr w:type="spellEnd"/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-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44,000.0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574F" w:rsidRPr="00B8692A" w:rsidRDefault="00DC574F" w:rsidP="00CE433A">
            <w:pPr>
              <w:spacing w:after="0" w:line="240" w:lineRule="auto"/>
              <w:jc w:val="center"/>
              <w:rPr>
                <w:rFonts w:eastAsia="Times New Roman" w:cstheme="minorHAnsi"/>
                <w:sz w:val="18"/>
                <w:szCs w:val="18"/>
              </w:rPr>
            </w:pPr>
            <w:r w:rsidRPr="00B8692A">
              <w:rPr>
                <w:rFonts w:eastAsia="Times New Roman" w:cstheme="minorHAnsi"/>
                <w:sz w:val="18"/>
                <w:szCs w:val="18"/>
              </w:rPr>
              <w:t>44,000.0</w:t>
            </w:r>
          </w:p>
        </w:tc>
      </w:tr>
    </w:tbl>
    <w:p w:rsidR="009A5FAB" w:rsidRDefault="009A5FAB" w:rsidP="00C0485E">
      <w:pPr>
        <w:tabs>
          <w:tab w:val="left" w:pos="0"/>
        </w:tabs>
        <w:spacing w:after="0" w:line="240" w:lineRule="auto"/>
        <w:ind w:right="135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</w:p>
    <w:p w:rsidR="009A5FAB" w:rsidRDefault="009A5FAB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zCs w:val="21"/>
          <w:shd w:val="clear" w:color="auto" w:fill="FFFFFF"/>
        </w:rPr>
      </w:pPr>
    </w:p>
    <w:p w:rsidR="000A1240" w:rsidRPr="000A1240" w:rsidRDefault="003C2FBC" w:rsidP="003C2FBC">
      <w:pPr>
        <w:spacing w:line="240" w:lineRule="auto"/>
        <w:ind w:firstLine="720"/>
        <w:jc w:val="both"/>
        <w:rPr>
          <w:rFonts w:ascii="Sylfaen" w:hAnsi="Sylfaen" w:cs="Sylfaen"/>
          <w:b/>
          <w:szCs w:val="21"/>
          <w:shd w:val="clear" w:color="auto" w:fill="FFFFFF"/>
        </w:rPr>
      </w:pPr>
      <w:r>
        <w:rPr>
          <w:rFonts w:ascii="Sylfaen" w:hAnsi="Sylfaen" w:cs="Sylfaen"/>
          <w:b/>
          <w:szCs w:val="21"/>
          <w:shd w:val="clear" w:color="auto" w:fill="FFFFFF"/>
          <w:lang w:val="ka-GE"/>
        </w:rPr>
        <w:t>მთავრობის საშინაო ვალი</w:t>
      </w:r>
      <w:r w:rsidR="0096735A" w:rsidRPr="000A1240">
        <w:rPr>
          <w:rFonts w:ascii="Sylfaen" w:hAnsi="Sylfaen" w:cs="Sylfaen"/>
          <w:b/>
          <w:szCs w:val="21"/>
          <w:shd w:val="clear" w:color="auto" w:fill="FFFFFF"/>
        </w:rPr>
        <w:tab/>
      </w:r>
    </w:p>
    <w:p w:rsidR="00396821" w:rsidRPr="000F487B" w:rsidRDefault="00E2344B" w:rsidP="00396821">
      <w:pPr>
        <w:tabs>
          <w:tab w:val="left" w:pos="720"/>
        </w:tabs>
        <w:spacing w:after="0" w:line="240" w:lineRule="auto"/>
        <w:jc w:val="both"/>
        <w:rPr>
          <w:rFonts w:ascii="Sylfaen" w:hAnsi="Sylfaen" w:cs="Sylfaen"/>
          <w:shd w:val="clear" w:color="auto" w:fill="FFFFFF"/>
          <w:lang w:val="ka-GE"/>
        </w:rPr>
      </w:pPr>
      <w:r>
        <w:rPr>
          <w:rFonts w:ascii="Sylfaen" w:hAnsi="Sylfaen" w:cs="Sylfaen"/>
          <w:szCs w:val="21"/>
          <w:shd w:val="clear" w:color="auto" w:fill="FFFFFF"/>
          <w:lang w:val="ka-GE"/>
        </w:rPr>
        <w:tab/>
      </w:r>
      <w:r w:rsidR="00FA735A">
        <w:rPr>
          <w:rFonts w:ascii="Sylfaen" w:hAnsi="Sylfaen" w:cs="Sylfaen"/>
          <w:szCs w:val="21"/>
          <w:shd w:val="clear" w:color="auto" w:fill="FFFFFF"/>
          <w:lang w:val="ka-GE"/>
        </w:rPr>
        <w:t xml:space="preserve">2021 წლის განმავლობაში 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საქართველოს ფინანსთა სამინისტრომ განახორციელა 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>6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და 12 თვიანი სახაზინო ვალდებულებების და 2, 5 და 10 წლიანი სახაზინო ობლიგაციების ემისია. 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>202</w:t>
      </w:r>
      <w:r w:rsidR="009D05FD" w:rsidRPr="000F487B">
        <w:rPr>
          <w:rFonts w:ascii="Sylfaen" w:hAnsi="Sylfaen" w:cs="Sylfaen"/>
          <w:szCs w:val="21"/>
          <w:shd w:val="clear" w:color="auto" w:fill="FFFFFF"/>
        </w:rPr>
        <w:t>1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3</w:t>
      </w:r>
      <w:r w:rsidR="007350CD" w:rsidRPr="000F487B"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C70518">
        <w:rPr>
          <w:rFonts w:ascii="Sylfaen" w:hAnsi="Sylfaen" w:cs="Sylfaen"/>
          <w:szCs w:val="21"/>
          <w:shd w:val="clear" w:color="auto" w:fill="FFFFFF"/>
          <w:lang w:val="ka-GE"/>
        </w:rPr>
        <w:t>აგვისტოს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მდგომარეობით სახაზინო ვალდებულებების და ობლიგაციების ბოლო აუქციონებზე დაფიქსირებულმა საშუალო შეწონილმა საპროცენტო განაკვეთებმა შეადგინა: 6 თვიანზე </w:t>
      </w:r>
      <w:r w:rsidR="00C70518">
        <w:rPr>
          <w:rFonts w:ascii="Sylfaen" w:hAnsi="Sylfaen" w:cs="Sylfaen"/>
          <w:szCs w:val="21"/>
          <w:shd w:val="clear" w:color="auto" w:fill="FFFFFF"/>
          <w:lang w:val="ka-GE"/>
        </w:rPr>
        <w:t>9.4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%, 12 თვიანზე </w:t>
      </w:r>
      <w:r w:rsidR="00C70518">
        <w:rPr>
          <w:rFonts w:ascii="Sylfaen" w:hAnsi="Sylfaen" w:cs="Sylfaen"/>
          <w:szCs w:val="21"/>
          <w:shd w:val="clear" w:color="auto" w:fill="FFFFFF"/>
          <w:lang w:val="ka-GE"/>
        </w:rPr>
        <w:t>9.2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%, 2 წლიანზე - </w:t>
      </w:r>
      <w:r w:rsidR="007350CD" w:rsidRPr="000F487B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>.</w:t>
      </w:r>
      <w:r w:rsidR="00C70518">
        <w:rPr>
          <w:rFonts w:ascii="Sylfaen" w:hAnsi="Sylfaen" w:cs="Sylfaen"/>
          <w:szCs w:val="21"/>
          <w:shd w:val="clear" w:color="auto" w:fill="FFFFFF"/>
        </w:rPr>
        <w:t>8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>%, 5 წლიანზე</w:t>
      </w:r>
      <w:r w:rsidR="009D05FD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 - 9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9D05FD" w:rsidRPr="000F487B">
        <w:rPr>
          <w:rFonts w:ascii="Sylfaen" w:hAnsi="Sylfaen" w:cs="Sylfaen"/>
          <w:szCs w:val="21"/>
          <w:shd w:val="clear" w:color="auto" w:fill="FFFFFF"/>
          <w:lang w:val="ka-GE"/>
        </w:rPr>
        <w:t>4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%, 10 წლიანზე - </w:t>
      </w:r>
      <w:r w:rsidR="009C518D" w:rsidRPr="000F487B">
        <w:rPr>
          <w:rFonts w:ascii="Sylfaen" w:hAnsi="Sylfaen" w:cs="Sylfaen"/>
          <w:szCs w:val="21"/>
          <w:shd w:val="clear" w:color="auto" w:fill="FFFFFF"/>
        </w:rPr>
        <w:t>8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C70518">
        <w:rPr>
          <w:rFonts w:ascii="Sylfaen" w:hAnsi="Sylfaen" w:cs="Sylfaen"/>
          <w:szCs w:val="21"/>
          <w:shd w:val="clear" w:color="auto" w:fill="FFFFFF"/>
          <w:lang w:val="ka-GE"/>
        </w:rPr>
        <w:t>9</w:t>
      </w:r>
      <w:r w:rsidR="00396821" w:rsidRPr="000F487B">
        <w:rPr>
          <w:rFonts w:ascii="Sylfaen" w:hAnsi="Sylfaen" w:cs="Sylfaen"/>
          <w:szCs w:val="21"/>
          <w:shd w:val="clear" w:color="auto" w:fill="FFFFFF"/>
        </w:rPr>
        <w:t>%</w:t>
      </w:r>
      <w:r w:rsidR="00396821" w:rsidRPr="000F487B">
        <w:rPr>
          <w:rFonts w:ascii="Sylfaen" w:hAnsi="Sylfaen" w:cs="Sylfaen"/>
          <w:szCs w:val="21"/>
          <w:shd w:val="clear" w:color="auto" w:fill="FFFFFF"/>
          <w:lang w:val="ka-GE"/>
        </w:rPr>
        <w:t xml:space="preserve">. </w:t>
      </w:r>
    </w:p>
    <w:p w:rsidR="00396821" w:rsidRPr="00D63FD8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both"/>
        <w:rPr>
          <w:rFonts w:ascii="Sylfaen" w:hAnsi="Sylfaen" w:cs="Sylfaen"/>
          <w:color w:val="000000" w:themeColor="text1"/>
          <w:shd w:val="clear" w:color="auto" w:fill="FFFFFF"/>
        </w:rPr>
      </w:pPr>
      <w:r w:rsidRPr="000F487B">
        <w:rPr>
          <w:rFonts w:ascii="Sylfaen" w:hAnsi="Sylfaen" w:cs="Sylfaen"/>
          <w:shd w:val="clear" w:color="auto" w:fill="FFFFFF"/>
          <w:lang w:val="ka-GE"/>
        </w:rPr>
        <w:t>ფასიანი ქაღალდების გამოშვების შედეგად მთავრობის საშინაო ვალის ნაშთმა 202</w:t>
      </w:r>
      <w:r w:rsidR="009D05FD" w:rsidRPr="000F487B">
        <w:rPr>
          <w:rFonts w:ascii="Sylfaen" w:hAnsi="Sylfaen" w:cs="Sylfaen"/>
          <w:shd w:val="clear" w:color="auto" w:fill="FFFFFF"/>
          <w:lang w:val="ka-GE"/>
        </w:rPr>
        <w:t>1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წლის </w:t>
      </w:r>
      <w:r w:rsidR="007350CD" w:rsidRPr="000F487B">
        <w:rPr>
          <w:rFonts w:ascii="Sylfaen" w:hAnsi="Sylfaen" w:cs="Sylfaen"/>
          <w:szCs w:val="21"/>
          <w:shd w:val="clear" w:color="auto" w:fill="FFFFFF"/>
          <w:lang w:val="ka-GE"/>
        </w:rPr>
        <w:t>31</w:t>
      </w:r>
      <w:r w:rsidRPr="000F487B">
        <w:rPr>
          <w:rFonts w:ascii="Sylfaen" w:hAnsi="Sylfaen" w:cs="Sylfaen"/>
          <w:szCs w:val="21"/>
          <w:shd w:val="clear" w:color="auto" w:fill="FFFFFF"/>
        </w:rPr>
        <w:t xml:space="preserve"> </w:t>
      </w:r>
      <w:r w:rsidR="00C70518">
        <w:rPr>
          <w:rFonts w:ascii="Sylfaen" w:hAnsi="Sylfaen" w:cs="Sylfaen"/>
          <w:szCs w:val="21"/>
          <w:shd w:val="clear" w:color="auto" w:fill="FFFFFF"/>
          <w:lang w:val="ka-GE"/>
        </w:rPr>
        <w:t>აგვისტოს</w:t>
      </w:r>
      <w:r w:rsidRPr="003A07F4">
        <w:rPr>
          <w:rFonts w:ascii="Sylfaen" w:hAnsi="Sylfaen" w:cs="Sylfaen"/>
          <w:szCs w:val="21"/>
          <w:shd w:val="clear" w:color="auto" w:fill="FFFFFF"/>
          <w:lang w:val="ka-GE"/>
        </w:rPr>
        <w:t xml:space="preserve"> მდგომარეობით შეადგინა </w:t>
      </w:r>
      <w:r w:rsidR="003150E3" w:rsidRPr="003A07F4">
        <w:rPr>
          <w:rFonts w:ascii="Sylfaen" w:hAnsi="Sylfaen" w:cs="Sylfaen"/>
          <w:szCs w:val="21"/>
          <w:shd w:val="clear" w:color="auto" w:fill="FFFFFF"/>
          <w:lang w:val="ka-GE"/>
        </w:rPr>
        <w:t>5</w:t>
      </w:r>
      <w:r w:rsidR="008739E5" w:rsidRPr="003A07F4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180F87" w:rsidRPr="003A07F4">
        <w:rPr>
          <w:rFonts w:ascii="Sylfaen" w:hAnsi="Sylfaen" w:cs="Sylfaen"/>
          <w:szCs w:val="21"/>
          <w:shd w:val="clear" w:color="auto" w:fill="FFFFFF"/>
          <w:lang w:val="ka-GE"/>
        </w:rPr>
        <w:t>491</w:t>
      </w:r>
      <w:r w:rsidR="009E10CF" w:rsidRPr="003A07F4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180F87" w:rsidRPr="003A07F4">
        <w:rPr>
          <w:rFonts w:ascii="Sylfaen" w:hAnsi="Sylfaen" w:cs="Sylfaen"/>
          <w:szCs w:val="21"/>
          <w:shd w:val="clear" w:color="auto" w:fill="FFFFFF"/>
          <w:lang w:val="ka-GE"/>
        </w:rPr>
        <w:t>1</w:t>
      </w:r>
      <w:r w:rsidRPr="003A07F4">
        <w:rPr>
          <w:rFonts w:ascii="Sylfaen" w:hAnsi="Sylfaen" w:cs="Sylfaen"/>
          <w:szCs w:val="21"/>
          <w:shd w:val="clear" w:color="auto" w:fill="FFFFFF"/>
          <w:lang w:val="ka-GE"/>
        </w:rPr>
        <w:t xml:space="preserve"> მლნ ლარი (ფასიანი ქაღალდების დაუფარავი მოცულობა ნომინალებში - </w:t>
      </w:r>
      <w:r w:rsidR="008739E5" w:rsidRPr="003A07F4">
        <w:rPr>
          <w:rFonts w:ascii="Sylfaen" w:hAnsi="Sylfaen" w:cs="Sylfaen"/>
          <w:szCs w:val="21"/>
          <w:shd w:val="clear" w:color="auto" w:fill="FFFFFF"/>
          <w:lang w:val="ka-GE"/>
        </w:rPr>
        <w:t xml:space="preserve">5 </w:t>
      </w:r>
      <w:r w:rsidR="00180F87" w:rsidRPr="003A07F4">
        <w:rPr>
          <w:rFonts w:ascii="Sylfaen" w:hAnsi="Sylfaen" w:cs="Sylfaen"/>
          <w:szCs w:val="21"/>
          <w:shd w:val="clear" w:color="auto" w:fill="FFFFFF"/>
          <w:lang w:val="ka-GE"/>
        </w:rPr>
        <w:t>446</w:t>
      </w:r>
      <w:r w:rsidR="003150E3" w:rsidRPr="003A07F4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180F87" w:rsidRPr="003A07F4">
        <w:rPr>
          <w:rFonts w:ascii="Sylfaen" w:hAnsi="Sylfaen" w:cs="Sylfaen"/>
          <w:szCs w:val="21"/>
          <w:shd w:val="clear" w:color="auto" w:fill="FFFFFF"/>
          <w:lang w:val="ka-GE"/>
        </w:rPr>
        <w:t>8</w:t>
      </w:r>
      <w:r w:rsidRPr="003A07F4">
        <w:rPr>
          <w:rFonts w:ascii="Sylfaen" w:hAnsi="Sylfaen" w:cs="Sylfaen"/>
          <w:szCs w:val="21"/>
          <w:shd w:val="clear" w:color="auto" w:fill="FFFFFF"/>
          <w:lang w:val="ka-GE"/>
        </w:rPr>
        <w:t xml:space="preserve"> მლნ ლარი და საბიუჯეტო ორგანიზაციების სესხის სახით არსებულ ნაშთი - </w:t>
      </w:r>
      <w:r w:rsidR="00180F87" w:rsidRPr="003A07F4">
        <w:rPr>
          <w:rFonts w:ascii="Sylfaen" w:hAnsi="Sylfaen" w:cs="Sylfaen"/>
          <w:szCs w:val="21"/>
          <w:shd w:val="clear" w:color="auto" w:fill="FFFFFF"/>
          <w:lang w:val="ka-GE"/>
        </w:rPr>
        <w:t>33.3</w:t>
      </w:r>
      <w:r w:rsidRPr="003A07F4">
        <w:rPr>
          <w:rFonts w:ascii="Sylfaen" w:hAnsi="Sylfaen" w:cs="Sylfaen"/>
          <w:szCs w:val="21"/>
          <w:shd w:val="clear" w:color="auto" w:fill="FFFFFF"/>
          <w:lang w:val="ka-GE"/>
        </w:rPr>
        <w:t xml:space="preserve"> მლნ ლარი), აქედან </w:t>
      </w:r>
      <w:r w:rsidR="003150E3" w:rsidRPr="003A07F4">
        <w:rPr>
          <w:rFonts w:ascii="Sylfaen" w:hAnsi="Sylfaen" w:cs="Sylfaen"/>
          <w:szCs w:val="21"/>
          <w:shd w:val="clear" w:color="auto" w:fill="FFFFFF"/>
          <w:lang w:val="ka-GE"/>
        </w:rPr>
        <w:t>5</w:t>
      </w:r>
      <w:r w:rsidR="008739E5" w:rsidRPr="003A07F4">
        <w:rPr>
          <w:rFonts w:ascii="Sylfaen" w:hAnsi="Sylfaen" w:cs="Sylfaen"/>
          <w:szCs w:val="21"/>
          <w:shd w:val="clear" w:color="auto" w:fill="FFFFFF"/>
          <w:lang w:val="ka-GE"/>
        </w:rPr>
        <w:t xml:space="preserve"> </w:t>
      </w:r>
      <w:r w:rsidR="00180F87" w:rsidRPr="003A07F4">
        <w:rPr>
          <w:rFonts w:ascii="Sylfaen" w:hAnsi="Sylfaen" w:cs="Sylfaen"/>
          <w:szCs w:val="21"/>
          <w:shd w:val="clear" w:color="auto" w:fill="FFFFFF"/>
          <w:lang w:val="ka-GE"/>
        </w:rPr>
        <w:t>127</w:t>
      </w:r>
      <w:r w:rsidR="003150E3" w:rsidRPr="003A07F4">
        <w:rPr>
          <w:rFonts w:ascii="Sylfaen" w:hAnsi="Sylfaen" w:cs="Sylfaen"/>
          <w:szCs w:val="21"/>
          <w:shd w:val="clear" w:color="auto" w:fill="FFFFFF"/>
          <w:lang w:val="ka-GE"/>
        </w:rPr>
        <w:t>.</w:t>
      </w:r>
      <w:r w:rsidR="00180F87" w:rsidRPr="003A07F4">
        <w:rPr>
          <w:rFonts w:ascii="Sylfaen" w:hAnsi="Sylfaen" w:cs="Sylfaen"/>
          <w:szCs w:val="21"/>
          <w:shd w:val="clear" w:color="auto" w:fill="FFFFFF"/>
          <w:lang w:val="ka-GE"/>
        </w:rPr>
        <w:t>0</w:t>
      </w:r>
      <w:r w:rsidRPr="003A07F4">
        <w:rPr>
          <w:rFonts w:ascii="Sylfaen" w:hAnsi="Sylfaen" w:cs="Sylfaen"/>
          <w:szCs w:val="21"/>
          <w:shd w:val="clear" w:color="auto" w:fill="FFFFFF"/>
          <w:lang w:val="ka-GE"/>
        </w:rPr>
        <w:t xml:space="preserve"> მლნ ლარი წარმოადგენს ნაშთს სახაზინო ვალდებულებების და ობლიგაციების ნაწილში, </w:t>
      </w:r>
      <w:r w:rsidR="00180F87" w:rsidRPr="003A07F4">
        <w:rPr>
          <w:rFonts w:ascii="Sylfaen" w:hAnsi="Sylfaen" w:cs="Sylfaen"/>
          <w:szCs w:val="21"/>
          <w:shd w:val="clear" w:color="auto" w:fill="FFFFFF"/>
          <w:lang w:val="ka-GE"/>
        </w:rPr>
        <w:t>330</w:t>
      </w:r>
      <w:r w:rsidRPr="003A07F4">
        <w:rPr>
          <w:rFonts w:ascii="Sylfaen" w:hAnsi="Sylfaen" w:cs="Sylfaen"/>
          <w:szCs w:val="21"/>
          <w:shd w:val="clear" w:color="auto" w:fill="FFFFFF"/>
          <w:lang w:val="ka-GE"/>
        </w:rPr>
        <w:t>.8 მლნ ლარი - „ობლიგაცია სებ-სთვის და</w:t>
      </w:r>
      <w:r w:rsidRPr="000F487B">
        <w:rPr>
          <w:rFonts w:ascii="Sylfaen" w:hAnsi="Sylfaen" w:cs="Sylfaen"/>
          <w:shd w:val="clear" w:color="auto" w:fill="FFFFFF"/>
          <w:lang w:val="ka-GE"/>
        </w:rPr>
        <w:t xml:space="preserve"> ღია ბაზრის ოპერაციებისათვის“ ნაწილში და </w:t>
      </w:r>
      <w:r w:rsidRPr="000F487B">
        <w:rPr>
          <w:rFonts w:ascii="Sylfaen" w:hAnsi="Sylfaen"/>
          <w:szCs w:val="21"/>
          <w:shd w:val="clear" w:color="auto" w:fill="FFFFFF"/>
          <w:lang w:val="ka-GE"/>
        </w:rPr>
        <w:t xml:space="preserve">საბიუჯეტო ორგანიზაციების სესხის სახით არსებულ ნაშთი - </w:t>
      </w:r>
      <w:r w:rsidR="00180F87" w:rsidRPr="00D63FD8">
        <w:rPr>
          <w:rFonts w:ascii="Sylfaen" w:hAnsi="Sylfaen"/>
          <w:color w:val="000000" w:themeColor="text1"/>
          <w:szCs w:val="21"/>
          <w:shd w:val="clear" w:color="auto" w:fill="FFFFFF"/>
          <w:lang w:val="ka-GE"/>
        </w:rPr>
        <w:t>33</w:t>
      </w:r>
      <w:r w:rsidR="00B4541C" w:rsidRPr="00D63FD8">
        <w:rPr>
          <w:rFonts w:ascii="Sylfaen" w:hAnsi="Sylfaen"/>
          <w:color w:val="000000" w:themeColor="text1"/>
          <w:szCs w:val="21"/>
          <w:shd w:val="clear" w:color="auto" w:fill="FFFFFF"/>
          <w:lang w:val="ka-GE"/>
        </w:rPr>
        <w:t>.</w:t>
      </w:r>
      <w:r w:rsidR="00180F87" w:rsidRPr="00D63FD8">
        <w:rPr>
          <w:rFonts w:ascii="Sylfaen" w:hAnsi="Sylfaen"/>
          <w:color w:val="000000" w:themeColor="text1"/>
          <w:szCs w:val="21"/>
          <w:shd w:val="clear" w:color="auto" w:fill="FFFFFF"/>
          <w:lang w:val="ka-GE"/>
        </w:rPr>
        <w:t>3</w:t>
      </w:r>
      <w:r w:rsidRPr="00D63FD8">
        <w:rPr>
          <w:rFonts w:ascii="Sylfaen" w:hAnsi="Sylfaen"/>
          <w:color w:val="000000" w:themeColor="text1"/>
          <w:szCs w:val="21"/>
          <w:shd w:val="clear" w:color="auto" w:fill="FFFFFF"/>
          <w:lang w:val="ka-GE"/>
        </w:rPr>
        <w:t xml:space="preserve"> მლნ ლარი.</w:t>
      </w:r>
    </w:p>
    <w:p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</w:p>
    <w:p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Cs w:val="18"/>
          <w:shd w:val="clear" w:color="auto" w:fill="FFFFFF"/>
          <w:lang w:val="ka-GE"/>
        </w:rPr>
      </w:pPr>
      <w:r w:rsidRPr="000F487B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ფასიანი ქაღალდების დაუფარავი მოცულობა ნომინალებში ვადის და ტიპის მიხედვით და საბიუჯეტო ორგანიზაციების სესხის სახით არსებული ვალის ნაშთი </w:t>
      </w:r>
    </w:p>
    <w:p w:rsidR="00396821" w:rsidRPr="000F487B" w:rsidRDefault="00B4541C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</w:pPr>
      <w:r w:rsidRPr="000F487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202</w:t>
      </w:r>
      <w:r w:rsidR="00D82730" w:rsidRPr="000F487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1</w:t>
      </w:r>
      <w:r w:rsidR="00396821" w:rsidRPr="000F487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წლის </w:t>
      </w:r>
      <w:r w:rsidR="003150E3" w:rsidRPr="000F487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31</w:t>
      </w:r>
      <w:r w:rsidR="00396821" w:rsidRPr="000F487B">
        <w:rPr>
          <w:rFonts w:ascii="Sylfaen" w:hAnsi="Sylfaen" w:cs="Sylfaen"/>
          <w:b/>
          <w:sz w:val="20"/>
          <w:szCs w:val="20"/>
          <w:shd w:val="clear" w:color="auto" w:fill="FFFFFF"/>
        </w:rPr>
        <w:t xml:space="preserve"> </w:t>
      </w:r>
      <w:r w:rsidR="00180F87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>აგვისტოს</w:t>
      </w:r>
      <w:r w:rsidR="00396821" w:rsidRPr="000F487B">
        <w:rPr>
          <w:rFonts w:ascii="Sylfaen" w:hAnsi="Sylfaen" w:cs="Sylfaen"/>
          <w:b/>
          <w:sz w:val="20"/>
          <w:szCs w:val="20"/>
          <w:shd w:val="clear" w:color="auto" w:fill="FFFFFF"/>
          <w:lang w:val="ka-GE"/>
        </w:rPr>
        <w:t xml:space="preserve"> მდგომარეობით</w:t>
      </w:r>
    </w:p>
    <w:p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:rsidR="00396821" w:rsidRPr="000F487B" w:rsidRDefault="00396821" w:rsidP="00396821">
      <w:pPr>
        <w:tabs>
          <w:tab w:val="left" w:pos="288"/>
        </w:tabs>
        <w:autoSpaceDE w:val="0"/>
        <w:autoSpaceDN w:val="0"/>
        <w:adjustRightInd w:val="0"/>
        <w:spacing w:after="0" w:line="240" w:lineRule="auto"/>
        <w:ind w:firstLine="810"/>
        <w:jc w:val="center"/>
        <w:rPr>
          <w:rFonts w:ascii="Sylfaen" w:hAnsi="Sylfaen" w:cs="Sylfaen"/>
          <w:b/>
          <w:sz w:val="20"/>
          <w:szCs w:val="20"/>
          <w:shd w:val="clear" w:color="auto" w:fill="FFFFFF"/>
        </w:rPr>
      </w:pPr>
    </w:p>
    <w:p w:rsidR="00396821" w:rsidRPr="00B73E97" w:rsidRDefault="00396821" w:rsidP="002B6702">
      <w:pPr>
        <w:tabs>
          <w:tab w:val="left" w:pos="0"/>
        </w:tabs>
        <w:spacing w:after="0" w:line="240" w:lineRule="auto"/>
        <w:ind w:right="270" w:firstLine="720"/>
        <w:jc w:val="right"/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</w:pPr>
      <w:r w:rsidRPr="000F487B">
        <w:rPr>
          <w:rFonts w:ascii="Sylfaen" w:hAnsi="Sylfaen" w:cs="Sylfaen"/>
          <w:b/>
          <w:szCs w:val="18"/>
          <w:shd w:val="clear" w:color="auto" w:fill="FFFFFF"/>
          <w:lang w:val="ka-GE"/>
        </w:rPr>
        <w:t xml:space="preserve">  </w:t>
      </w:r>
      <w:r w:rsidRPr="000F487B">
        <w:rPr>
          <w:rFonts w:ascii="Sylfaen" w:hAnsi="Sylfaen" w:cs="Sylfaen"/>
          <w:b/>
          <w:szCs w:val="18"/>
          <w:shd w:val="clear" w:color="auto" w:fill="FFFFFF"/>
        </w:rPr>
        <w:tab/>
      </w:r>
      <w:r w:rsidR="00AD59D0" w:rsidRPr="000F487B">
        <w:rPr>
          <w:rFonts w:ascii="Sylfaen" w:hAnsi="Sylfaen" w:cs="Sylfaen"/>
          <w:b/>
          <w:szCs w:val="18"/>
          <w:shd w:val="clear" w:color="auto" w:fill="FFFFFF"/>
        </w:rPr>
        <w:t xml:space="preserve">    </w:t>
      </w:r>
      <w:r w:rsidRPr="000F487B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 xml:space="preserve"> ათასი ლა</w:t>
      </w:r>
      <w:r w:rsidRPr="00B73E97">
        <w:rPr>
          <w:rFonts w:ascii="Sylfaen" w:hAnsi="Sylfaen"/>
          <w:b/>
          <w:i/>
          <w:noProof/>
          <w:color w:val="000000"/>
          <w:sz w:val="18"/>
          <w:szCs w:val="18"/>
          <w:lang w:val="ka-GE"/>
        </w:rPr>
        <w:t>რი</w:t>
      </w:r>
    </w:p>
    <w:tbl>
      <w:tblPr>
        <w:tblStyle w:val="TableGrid"/>
        <w:tblW w:w="4828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242"/>
        <w:gridCol w:w="2456"/>
      </w:tblGrid>
      <w:tr w:rsidR="009E10CF" w:rsidRPr="009A5FAB" w:rsidTr="0058522A">
        <w:trPr>
          <w:trHeight w:val="343"/>
          <w:jc w:val="center"/>
        </w:trPr>
        <w:tc>
          <w:tcPr>
            <w:tcW w:w="3734" w:type="pct"/>
            <w:vAlign w:val="center"/>
            <w:hideMark/>
          </w:tcPr>
          <w:p w:rsidR="009E10CF" w:rsidRPr="009A5FAB" w:rsidRDefault="009E10CF" w:rsidP="009E10C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  <w:lang w:val="ka-GE"/>
              </w:rPr>
            </w:pPr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სულ</w:t>
            </w:r>
          </w:p>
        </w:tc>
        <w:tc>
          <w:tcPr>
            <w:tcW w:w="1266" w:type="pct"/>
            <w:vAlign w:val="center"/>
            <w:hideMark/>
          </w:tcPr>
          <w:p w:rsidR="009E10CF" w:rsidRPr="009A5FAB" w:rsidRDefault="009E10CF" w:rsidP="00180F87">
            <w:pPr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FAB">
              <w:rPr>
                <w:rFonts w:ascii="Arial" w:hAnsi="Arial" w:cs="Arial"/>
                <w:b/>
                <w:bCs/>
                <w:sz w:val="18"/>
                <w:szCs w:val="18"/>
              </w:rPr>
              <w:t>5,</w:t>
            </w:r>
            <w:r w:rsidR="00180F87" w:rsidRPr="00180F87">
              <w:rPr>
                <w:rFonts w:ascii="Arial" w:hAnsi="Arial" w:cs="Arial"/>
                <w:b/>
                <w:bCs/>
                <w:sz w:val="18"/>
                <w:szCs w:val="18"/>
              </w:rPr>
              <w:t>480</w:t>
            </w:r>
            <w:r w:rsidRPr="009A5FAB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180F87" w:rsidRPr="00180F87">
              <w:rPr>
                <w:rFonts w:ascii="Arial" w:hAnsi="Arial" w:cs="Arial"/>
                <w:b/>
                <w:bCs/>
                <w:sz w:val="18"/>
                <w:szCs w:val="18"/>
              </w:rPr>
              <w:t>039</w:t>
            </w:r>
            <w:r w:rsidRPr="009A5FAB"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="00180F87">
              <w:rPr>
                <w:rFonts w:ascii="Arial" w:hAnsi="Arial" w:cs="Arial"/>
                <w:b/>
                <w:bCs/>
                <w:sz w:val="18"/>
                <w:szCs w:val="18"/>
              </w:rPr>
              <w:t>8</w:t>
            </w:r>
          </w:p>
        </w:tc>
      </w:tr>
      <w:tr w:rsidR="009E10CF" w:rsidRPr="009A5FAB" w:rsidTr="0058522A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9E10CF" w:rsidRPr="009A5FAB" w:rsidRDefault="009E10CF" w:rsidP="009E10C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სახაზინო</w:t>
            </w:r>
            <w:proofErr w:type="spellEnd"/>
            <w:r w:rsidRPr="009A5F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9A5F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1266" w:type="pct"/>
            <w:vAlign w:val="center"/>
            <w:hideMark/>
          </w:tcPr>
          <w:p w:rsidR="009E10CF" w:rsidRPr="009A5FAB" w:rsidRDefault="009E10CF" w:rsidP="00180F87">
            <w:pPr>
              <w:ind w:right="45" w:firstLineChars="100" w:firstLine="18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A5FAB">
              <w:rPr>
                <w:rFonts w:ascii="Arial" w:hAnsi="Arial" w:cs="Arial"/>
                <w:b/>
                <w:bCs/>
                <w:sz w:val="18"/>
                <w:szCs w:val="18"/>
              </w:rPr>
              <w:t>5,</w:t>
            </w:r>
            <w:r w:rsidR="00180F87" w:rsidRPr="00180F87">
              <w:rPr>
                <w:rFonts w:ascii="Arial" w:hAnsi="Arial" w:cs="Arial"/>
                <w:b/>
                <w:bCs/>
                <w:sz w:val="18"/>
                <w:szCs w:val="18"/>
              </w:rPr>
              <w:t>115</w:t>
            </w:r>
            <w:r w:rsidRPr="009A5FAB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="00180F87">
              <w:rPr>
                <w:rFonts w:ascii="Arial" w:hAnsi="Arial" w:cs="Arial"/>
                <w:b/>
                <w:bCs/>
                <w:sz w:val="18"/>
                <w:szCs w:val="18"/>
              </w:rPr>
              <w:t>907</w:t>
            </w:r>
            <w:r w:rsidRPr="009A5FAB">
              <w:rPr>
                <w:rFonts w:ascii="Arial" w:hAnsi="Arial" w:cs="Arial"/>
                <w:b/>
                <w:bCs/>
                <w:sz w:val="18"/>
                <w:szCs w:val="18"/>
              </w:rPr>
              <w:t>.0</w:t>
            </w:r>
          </w:p>
        </w:tc>
      </w:tr>
      <w:tr w:rsidR="009E10CF" w:rsidRPr="009A5FAB" w:rsidTr="0058522A">
        <w:trPr>
          <w:trHeight w:val="288"/>
          <w:jc w:val="center"/>
        </w:trPr>
        <w:tc>
          <w:tcPr>
            <w:tcW w:w="3734" w:type="pct"/>
            <w:noWrap/>
            <w:vAlign w:val="center"/>
          </w:tcPr>
          <w:p w:rsidR="009E10CF" w:rsidRPr="009A5FAB" w:rsidRDefault="009E10CF" w:rsidP="009E10CF">
            <w:pPr>
              <w:ind w:left="341"/>
              <w:rPr>
                <w:rFonts w:ascii="Arial" w:eastAsia="Times New Roman" w:hAnsi="Arial" w:cs="Arial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>6</w:t>
            </w:r>
            <w:r w:rsidRPr="009A5FA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9A5FAB">
              <w:rPr>
                <w:rFonts w:ascii="Sylfaen" w:eastAsia="Times New Roman" w:hAnsi="Sylfaen" w:cs="Sylfaen"/>
                <w:sz w:val="18"/>
                <w:szCs w:val="18"/>
              </w:rPr>
              <w:t>თვის</w:t>
            </w:r>
            <w:proofErr w:type="spellEnd"/>
            <w:r w:rsidRPr="009A5FA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9A5FAB">
              <w:rPr>
                <w:rFonts w:ascii="Sylfaen" w:eastAsia="Times New Roman" w:hAnsi="Sylfaen" w:cs="Sylfaen"/>
                <w:sz w:val="18"/>
                <w:szCs w:val="18"/>
              </w:rPr>
              <w:t>ვადიანობის</w:t>
            </w:r>
            <w:proofErr w:type="spellEnd"/>
            <w:r w:rsidRPr="009A5FA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9A5FAB">
              <w:rPr>
                <w:rFonts w:ascii="Sylfaen" w:eastAsia="Times New Roman" w:hAnsi="Sylfaen" w:cs="Sylfaen"/>
                <w:sz w:val="18"/>
                <w:szCs w:val="18"/>
              </w:rPr>
              <w:t>სახაზინო</w:t>
            </w:r>
            <w:proofErr w:type="spellEnd"/>
            <w:r w:rsidRPr="009A5FAB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proofErr w:type="spellStart"/>
            <w:r w:rsidRPr="009A5FAB">
              <w:rPr>
                <w:rFonts w:ascii="Sylfaen" w:eastAsia="Times New Roman" w:hAnsi="Sylfaen" w:cs="Sylfaen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1266" w:type="pct"/>
            <w:vAlign w:val="center"/>
          </w:tcPr>
          <w:p w:rsidR="009E10CF" w:rsidRPr="00180F87" w:rsidRDefault="00180F87" w:rsidP="009C518D">
            <w:pPr>
              <w:ind w:right="45"/>
              <w:jc w:val="right"/>
              <w:rPr>
                <w:rFonts w:ascii="Arial" w:hAnsi="Arial" w:cs="Arial"/>
                <w:sz w:val="18"/>
                <w:szCs w:val="18"/>
                <w:lang w:val="ka-GE"/>
              </w:rPr>
            </w:pPr>
            <w:r>
              <w:rPr>
                <w:rFonts w:ascii="Arial" w:hAnsi="Arial" w:cs="Arial"/>
                <w:sz w:val="18"/>
                <w:szCs w:val="18"/>
                <w:lang w:val="ka-GE"/>
              </w:rPr>
              <w:t>7</w:t>
            </w:r>
            <w:r w:rsidR="00D82730" w:rsidRPr="009A5FAB">
              <w:rPr>
                <w:rFonts w:ascii="Arial" w:hAnsi="Arial" w:cs="Arial"/>
                <w:sz w:val="18"/>
                <w:szCs w:val="18"/>
                <w:lang w:val="ka-GE"/>
              </w:rPr>
              <w:t>5</w:t>
            </w:r>
            <w:r w:rsidR="009E10CF" w:rsidRPr="00180F87">
              <w:rPr>
                <w:rFonts w:ascii="Arial" w:hAnsi="Arial" w:cs="Arial"/>
                <w:sz w:val="18"/>
                <w:szCs w:val="18"/>
                <w:lang w:val="ka-GE"/>
              </w:rPr>
              <w:t>,</w:t>
            </w:r>
            <w:r w:rsidR="009C518D" w:rsidRPr="00180F87">
              <w:rPr>
                <w:rFonts w:ascii="Arial" w:hAnsi="Arial" w:cs="Arial"/>
                <w:sz w:val="18"/>
                <w:szCs w:val="18"/>
                <w:lang w:val="ka-GE"/>
              </w:rPr>
              <w:t>000</w:t>
            </w:r>
            <w:r w:rsidR="009E10CF" w:rsidRPr="00180F87">
              <w:rPr>
                <w:rFonts w:ascii="Arial" w:hAnsi="Arial" w:cs="Arial"/>
                <w:sz w:val="18"/>
                <w:szCs w:val="18"/>
                <w:lang w:val="ka-GE"/>
              </w:rPr>
              <w:t>.0</w:t>
            </w:r>
          </w:p>
        </w:tc>
      </w:tr>
      <w:tr w:rsidR="009E10CF" w:rsidRPr="009A5FAB" w:rsidTr="0058522A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:rsidR="009E10CF" w:rsidRPr="009A5FAB" w:rsidRDefault="009E10CF" w:rsidP="009E10CF">
            <w:pPr>
              <w:ind w:left="341"/>
              <w:rPr>
                <w:rFonts w:ascii="Arial" w:eastAsia="Times New Roman" w:hAnsi="Arial" w:cs="Arial"/>
                <w:sz w:val="18"/>
                <w:szCs w:val="18"/>
              </w:rPr>
            </w:pP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12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თვის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ვალდებულებები</w:t>
            </w:r>
          </w:p>
        </w:tc>
        <w:tc>
          <w:tcPr>
            <w:tcW w:w="1266" w:type="pct"/>
            <w:vAlign w:val="center"/>
            <w:hideMark/>
          </w:tcPr>
          <w:p w:rsidR="009E10CF" w:rsidRPr="009A5FAB" w:rsidRDefault="00180F87" w:rsidP="009C518D">
            <w:pPr>
              <w:ind w:right="45"/>
              <w:jc w:val="right"/>
              <w:rPr>
                <w:rFonts w:ascii="Arial" w:hAnsi="Arial" w:cs="Arial"/>
                <w:sz w:val="18"/>
                <w:szCs w:val="18"/>
                <w:lang w:val="ka-GE"/>
              </w:rPr>
            </w:pPr>
            <w:r w:rsidRPr="00180F87">
              <w:rPr>
                <w:rFonts w:ascii="Arial" w:hAnsi="Arial" w:cs="Arial"/>
                <w:sz w:val="18"/>
                <w:szCs w:val="18"/>
                <w:lang w:val="ka-GE"/>
              </w:rPr>
              <w:t>290</w:t>
            </w:r>
            <w:r w:rsidR="009E10CF" w:rsidRPr="009A5FAB">
              <w:rPr>
                <w:rFonts w:ascii="Arial" w:hAnsi="Arial" w:cs="Arial"/>
                <w:sz w:val="18"/>
                <w:szCs w:val="18"/>
                <w:lang w:val="ka-GE"/>
              </w:rPr>
              <w:t>,</w:t>
            </w:r>
            <w:r w:rsidR="009C518D" w:rsidRPr="009A5FAB">
              <w:rPr>
                <w:rFonts w:ascii="Arial" w:hAnsi="Arial" w:cs="Arial"/>
                <w:sz w:val="18"/>
                <w:szCs w:val="18"/>
                <w:lang w:val="ka-GE"/>
              </w:rPr>
              <w:t>000</w:t>
            </w:r>
            <w:r w:rsidR="009E10CF" w:rsidRPr="009A5FAB">
              <w:rPr>
                <w:rFonts w:ascii="Arial" w:hAnsi="Arial" w:cs="Arial"/>
                <w:sz w:val="18"/>
                <w:szCs w:val="18"/>
                <w:lang w:val="ka-GE"/>
              </w:rPr>
              <w:t>.0</w:t>
            </w:r>
          </w:p>
        </w:tc>
      </w:tr>
      <w:tr w:rsidR="009E10CF" w:rsidRPr="009A5FAB" w:rsidTr="0058522A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:rsidR="009E10CF" w:rsidRPr="009A5FAB" w:rsidRDefault="009E10CF" w:rsidP="009E10CF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2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</w:p>
        </w:tc>
        <w:tc>
          <w:tcPr>
            <w:tcW w:w="1266" w:type="pct"/>
            <w:vAlign w:val="center"/>
            <w:hideMark/>
          </w:tcPr>
          <w:p w:rsidR="009E10CF" w:rsidRPr="009A5FAB" w:rsidRDefault="00180F87" w:rsidP="00D82730">
            <w:pPr>
              <w:ind w:right="45"/>
              <w:jc w:val="right"/>
              <w:rPr>
                <w:rFonts w:ascii="Arial" w:hAnsi="Arial" w:cs="Arial"/>
                <w:sz w:val="18"/>
                <w:szCs w:val="18"/>
                <w:lang w:val="ka-GE"/>
              </w:rPr>
            </w:pPr>
            <w:r w:rsidRPr="00180F87">
              <w:rPr>
                <w:rFonts w:ascii="Arial" w:hAnsi="Arial" w:cs="Arial"/>
                <w:sz w:val="18"/>
                <w:szCs w:val="18"/>
                <w:lang w:val="ka-GE"/>
              </w:rPr>
              <w:t>960</w:t>
            </w:r>
            <w:r w:rsidR="009E10CF" w:rsidRPr="009A5FAB">
              <w:rPr>
                <w:rFonts w:ascii="Arial" w:hAnsi="Arial" w:cs="Arial"/>
                <w:sz w:val="18"/>
                <w:szCs w:val="18"/>
                <w:lang w:val="ka-GE"/>
              </w:rPr>
              <w:t>,0</w:t>
            </w:r>
            <w:r w:rsidR="008739E5" w:rsidRPr="009A5FAB">
              <w:rPr>
                <w:rFonts w:ascii="Arial" w:hAnsi="Arial" w:cs="Arial"/>
                <w:sz w:val="18"/>
                <w:szCs w:val="18"/>
                <w:lang w:val="ka-GE"/>
              </w:rPr>
              <w:t>00</w:t>
            </w:r>
            <w:r w:rsidR="009E10CF" w:rsidRPr="009A5FAB">
              <w:rPr>
                <w:rFonts w:ascii="Arial" w:hAnsi="Arial" w:cs="Arial"/>
                <w:sz w:val="18"/>
                <w:szCs w:val="18"/>
                <w:lang w:val="ka-GE"/>
              </w:rPr>
              <w:t>.0</w:t>
            </w:r>
          </w:p>
        </w:tc>
      </w:tr>
      <w:tr w:rsidR="009E10CF" w:rsidRPr="009A5FAB" w:rsidTr="0058522A">
        <w:trPr>
          <w:trHeight w:val="288"/>
          <w:jc w:val="center"/>
        </w:trPr>
        <w:tc>
          <w:tcPr>
            <w:tcW w:w="3734" w:type="pct"/>
            <w:noWrap/>
            <w:vAlign w:val="center"/>
            <w:hideMark/>
          </w:tcPr>
          <w:p w:rsidR="009E10CF" w:rsidRPr="009A5FAB" w:rsidRDefault="009E10CF" w:rsidP="009E10CF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5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</w:p>
        </w:tc>
        <w:tc>
          <w:tcPr>
            <w:tcW w:w="1266" w:type="pct"/>
            <w:vAlign w:val="center"/>
            <w:hideMark/>
          </w:tcPr>
          <w:p w:rsidR="009E10CF" w:rsidRPr="009A5FAB" w:rsidRDefault="009E10CF" w:rsidP="00180F87">
            <w:pPr>
              <w:ind w:right="45"/>
              <w:jc w:val="right"/>
              <w:rPr>
                <w:rFonts w:ascii="Arial" w:hAnsi="Arial" w:cs="Arial"/>
                <w:sz w:val="18"/>
                <w:szCs w:val="18"/>
                <w:lang w:val="ka-GE"/>
              </w:rPr>
            </w:pPr>
            <w:r w:rsidRPr="009A5FAB">
              <w:rPr>
                <w:rFonts w:ascii="Arial" w:hAnsi="Arial" w:cs="Arial"/>
                <w:sz w:val="18"/>
                <w:szCs w:val="18"/>
                <w:lang w:val="ka-GE"/>
              </w:rPr>
              <w:t>2,</w:t>
            </w:r>
            <w:r w:rsidR="00180F87" w:rsidRPr="00180F87">
              <w:rPr>
                <w:rFonts w:ascii="Arial" w:hAnsi="Arial" w:cs="Arial"/>
                <w:sz w:val="18"/>
                <w:szCs w:val="18"/>
                <w:lang w:val="ka-GE"/>
              </w:rPr>
              <w:t>485</w:t>
            </w:r>
            <w:r w:rsidRPr="009A5FAB">
              <w:rPr>
                <w:rFonts w:ascii="Arial" w:hAnsi="Arial" w:cs="Arial"/>
                <w:sz w:val="18"/>
                <w:szCs w:val="18"/>
                <w:lang w:val="ka-GE"/>
              </w:rPr>
              <w:t>,</w:t>
            </w:r>
            <w:r w:rsidR="00180F87" w:rsidRPr="00180F87">
              <w:rPr>
                <w:rFonts w:ascii="Arial" w:hAnsi="Arial" w:cs="Arial"/>
                <w:sz w:val="18"/>
                <w:szCs w:val="18"/>
                <w:lang w:val="ka-GE"/>
              </w:rPr>
              <w:t>339</w:t>
            </w:r>
            <w:r w:rsidRPr="009A5FAB">
              <w:rPr>
                <w:rFonts w:ascii="Arial" w:hAnsi="Arial" w:cs="Arial"/>
                <w:sz w:val="18"/>
                <w:szCs w:val="18"/>
                <w:lang w:val="ka-GE"/>
              </w:rPr>
              <w:t>.0</w:t>
            </w:r>
          </w:p>
        </w:tc>
      </w:tr>
      <w:tr w:rsidR="009E10CF" w:rsidRPr="009A5FAB" w:rsidTr="00180F87">
        <w:trPr>
          <w:trHeight w:val="353"/>
          <w:jc w:val="center"/>
        </w:trPr>
        <w:tc>
          <w:tcPr>
            <w:tcW w:w="3734" w:type="pct"/>
            <w:noWrap/>
            <w:vAlign w:val="center"/>
            <w:hideMark/>
          </w:tcPr>
          <w:p w:rsidR="009E10CF" w:rsidRPr="009A5FAB" w:rsidRDefault="009E10CF" w:rsidP="009E10CF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10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წლის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ვადიანობის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სახაზინო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</w:p>
        </w:tc>
        <w:tc>
          <w:tcPr>
            <w:tcW w:w="1266" w:type="pct"/>
            <w:vAlign w:val="center"/>
            <w:hideMark/>
          </w:tcPr>
          <w:p w:rsidR="009E10CF" w:rsidRPr="009A5FAB" w:rsidRDefault="009E10CF" w:rsidP="00180F87">
            <w:pPr>
              <w:ind w:right="45"/>
              <w:jc w:val="right"/>
              <w:rPr>
                <w:rFonts w:ascii="Arial" w:hAnsi="Arial" w:cs="Arial"/>
                <w:sz w:val="18"/>
                <w:szCs w:val="18"/>
                <w:lang w:val="ka-GE"/>
              </w:rPr>
            </w:pPr>
            <w:r w:rsidRPr="009A5FAB">
              <w:rPr>
                <w:rFonts w:ascii="Arial" w:hAnsi="Arial" w:cs="Arial"/>
                <w:sz w:val="18"/>
                <w:szCs w:val="18"/>
                <w:lang w:val="ka-GE"/>
              </w:rPr>
              <w:t>1,</w:t>
            </w:r>
            <w:r w:rsidR="00180F87" w:rsidRPr="00180F87">
              <w:rPr>
                <w:rFonts w:ascii="Arial" w:hAnsi="Arial" w:cs="Arial"/>
                <w:sz w:val="18"/>
                <w:szCs w:val="18"/>
                <w:lang w:val="ka-GE"/>
              </w:rPr>
              <w:t>305</w:t>
            </w:r>
            <w:r w:rsidRPr="009A5FAB">
              <w:rPr>
                <w:rFonts w:ascii="Arial" w:hAnsi="Arial" w:cs="Arial"/>
                <w:sz w:val="18"/>
                <w:szCs w:val="18"/>
                <w:lang w:val="ka-GE"/>
              </w:rPr>
              <w:t>,</w:t>
            </w:r>
            <w:r w:rsidR="00D82730" w:rsidRPr="009A5FAB">
              <w:rPr>
                <w:rFonts w:ascii="Arial" w:hAnsi="Arial" w:cs="Arial"/>
                <w:sz w:val="18"/>
                <w:szCs w:val="18"/>
                <w:lang w:val="ka-GE"/>
              </w:rPr>
              <w:t>568</w:t>
            </w:r>
            <w:r w:rsidRPr="009A5FAB">
              <w:rPr>
                <w:rFonts w:ascii="Arial" w:hAnsi="Arial" w:cs="Arial"/>
                <w:sz w:val="18"/>
                <w:szCs w:val="18"/>
                <w:lang w:val="ka-GE"/>
              </w:rPr>
              <w:t>.0</w:t>
            </w:r>
          </w:p>
        </w:tc>
      </w:tr>
      <w:tr w:rsidR="009E10CF" w:rsidRPr="009A5FAB" w:rsidTr="0058522A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9E10CF" w:rsidRPr="009A5FAB" w:rsidRDefault="009E10CF" w:rsidP="009E10CF">
            <w:pPr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proofErr w:type="spellStart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სხვა</w:t>
            </w:r>
            <w:proofErr w:type="spellEnd"/>
            <w:r w:rsidRPr="009A5F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ფასიანი</w:t>
            </w:r>
            <w:proofErr w:type="spellEnd"/>
            <w:r w:rsidRPr="009A5FAB"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ქაღალდები</w:t>
            </w:r>
            <w:proofErr w:type="spellEnd"/>
          </w:p>
        </w:tc>
        <w:tc>
          <w:tcPr>
            <w:tcW w:w="1266" w:type="pct"/>
            <w:vAlign w:val="center"/>
          </w:tcPr>
          <w:p w:rsidR="009E10CF" w:rsidRPr="009A5FAB" w:rsidRDefault="00180F87" w:rsidP="00D82730">
            <w:pPr>
              <w:ind w:right="45" w:firstLineChars="100" w:firstLine="18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80F87">
              <w:rPr>
                <w:rFonts w:ascii="Arial" w:hAnsi="Arial" w:cs="Arial"/>
                <w:b/>
                <w:bCs/>
                <w:sz w:val="18"/>
                <w:szCs w:val="18"/>
              </w:rPr>
              <w:t>330</w:t>
            </w:r>
            <w:r w:rsidR="008739E5" w:rsidRPr="009A5FAB">
              <w:rPr>
                <w:rFonts w:ascii="Arial" w:hAnsi="Arial" w:cs="Arial"/>
                <w:b/>
                <w:bCs/>
                <w:sz w:val="18"/>
                <w:szCs w:val="18"/>
              </w:rPr>
              <w:t>,846.0</w:t>
            </w:r>
          </w:p>
        </w:tc>
      </w:tr>
      <w:tr w:rsidR="009E10CF" w:rsidRPr="009A5FAB" w:rsidTr="0058522A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9E10CF" w:rsidRPr="00180F87" w:rsidRDefault="009E10CF" w:rsidP="009E10CF">
            <w:pPr>
              <w:ind w:left="341"/>
              <w:rPr>
                <w:rFonts w:ascii="Arial" w:eastAsia="Times New Roman" w:hAnsi="Arial" w:cs="Arial"/>
                <w:sz w:val="18"/>
                <w:szCs w:val="18"/>
              </w:rPr>
            </w:pP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ობლიგაცია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სებ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>-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სთვის</w:t>
            </w:r>
          </w:p>
        </w:tc>
        <w:tc>
          <w:tcPr>
            <w:tcW w:w="1266" w:type="pct"/>
            <w:vAlign w:val="center"/>
            <w:hideMark/>
          </w:tcPr>
          <w:p w:rsidR="009E10CF" w:rsidRPr="009A5FAB" w:rsidRDefault="00D82730" w:rsidP="009E10CF">
            <w:pPr>
              <w:ind w:right="45"/>
              <w:jc w:val="right"/>
              <w:rPr>
                <w:rFonts w:ascii="Arial" w:hAnsi="Arial" w:cs="Arial"/>
                <w:sz w:val="18"/>
                <w:szCs w:val="18"/>
                <w:lang w:val="ka-GE"/>
              </w:rPr>
            </w:pPr>
            <w:r w:rsidRPr="009A5FAB">
              <w:rPr>
                <w:rFonts w:ascii="Arial" w:hAnsi="Arial" w:cs="Arial"/>
                <w:sz w:val="18"/>
                <w:szCs w:val="18"/>
                <w:lang w:val="ka-GE"/>
              </w:rPr>
              <w:t>160</w:t>
            </w:r>
            <w:r w:rsidR="008739E5" w:rsidRPr="009A5FAB">
              <w:rPr>
                <w:rFonts w:ascii="Arial" w:hAnsi="Arial" w:cs="Arial"/>
                <w:sz w:val="18"/>
                <w:szCs w:val="18"/>
                <w:lang w:val="ka-GE"/>
              </w:rPr>
              <w:t>,846.0</w:t>
            </w:r>
          </w:p>
        </w:tc>
      </w:tr>
      <w:tr w:rsidR="009E10CF" w:rsidRPr="009A5FAB" w:rsidTr="0058522A">
        <w:trPr>
          <w:trHeight w:val="288"/>
          <w:jc w:val="center"/>
        </w:trPr>
        <w:tc>
          <w:tcPr>
            <w:tcW w:w="3734" w:type="pct"/>
            <w:vAlign w:val="center"/>
            <w:hideMark/>
          </w:tcPr>
          <w:p w:rsidR="009E10CF" w:rsidRPr="009A5FAB" w:rsidRDefault="009E10CF" w:rsidP="009E10CF">
            <w:pPr>
              <w:ind w:left="341"/>
              <w:rPr>
                <w:rFonts w:ascii="Arial" w:eastAsia="Times New Roman" w:hAnsi="Arial" w:cs="Arial"/>
                <w:sz w:val="18"/>
                <w:szCs w:val="18"/>
                <w:lang w:val="ka-GE"/>
              </w:rPr>
            </w:pP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ობლიგაციები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ღია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ბაზრის</w:t>
            </w:r>
            <w:r w:rsidRPr="009A5FAB">
              <w:rPr>
                <w:rFonts w:ascii="Arial" w:eastAsia="Times New Roman" w:hAnsi="Arial" w:cs="Arial"/>
                <w:sz w:val="18"/>
                <w:szCs w:val="18"/>
                <w:lang w:val="ka-GE"/>
              </w:rPr>
              <w:t xml:space="preserve"> </w:t>
            </w:r>
            <w:r w:rsidRPr="009A5FAB">
              <w:rPr>
                <w:rFonts w:ascii="Sylfaen" w:eastAsia="Times New Roman" w:hAnsi="Sylfaen" w:cs="Sylfaen"/>
                <w:sz w:val="18"/>
                <w:szCs w:val="18"/>
                <w:lang w:val="ka-GE"/>
              </w:rPr>
              <w:t>ოპერაციებისთვის</w:t>
            </w:r>
          </w:p>
        </w:tc>
        <w:tc>
          <w:tcPr>
            <w:tcW w:w="1266" w:type="pct"/>
            <w:vAlign w:val="center"/>
            <w:hideMark/>
          </w:tcPr>
          <w:p w:rsidR="009E10CF" w:rsidRPr="009A5FAB" w:rsidRDefault="00180F87" w:rsidP="009E10CF">
            <w:pPr>
              <w:ind w:right="45"/>
              <w:jc w:val="right"/>
              <w:rPr>
                <w:rFonts w:ascii="Arial" w:hAnsi="Arial" w:cs="Arial"/>
                <w:sz w:val="18"/>
                <w:szCs w:val="18"/>
                <w:lang w:val="ka-GE"/>
              </w:rPr>
            </w:pPr>
            <w:r w:rsidRPr="00180F87">
              <w:rPr>
                <w:rFonts w:ascii="Arial" w:hAnsi="Arial" w:cs="Arial"/>
                <w:sz w:val="18"/>
                <w:szCs w:val="18"/>
                <w:lang w:val="ka-GE"/>
              </w:rPr>
              <w:t>170</w:t>
            </w:r>
            <w:r w:rsidR="008739E5" w:rsidRPr="009A5FAB">
              <w:rPr>
                <w:rFonts w:ascii="Arial" w:hAnsi="Arial" w:cs="Arial"/>
                <w:sz w:val="18"/>
                <w:szCs w:val="18"/>
                <w:lang w:val="ka-GE"/>
              </w:rPr>
              <w:t>,000.0</w:t>
            </w:r>
          </w:p>
        </w:tc>
      </w:tr>
      <w:tr w:rsidR="009E10CF" w:rsidRPr="009A5FAB" w:rsidTr="0058522A">
        <w:trPr>
          <w:trHeight w:val="288"/>
          <w:jc w:val="center"/>
        </w:trPr>
        <w:tc>
          <w:tcPr>
            <w:tcW w:w="3734" w:type="pct"/>
            <w:vAlign w:val="center"/>
          </w:tcPr>
          <w:p w:rsidR="009E10CF" w:rsidRPr="009A5FAB" w:rsidRDefault="009E10CF" w:rsidP="009E10CF">
            <w:pPr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</w:pPr>
            <w:proofErr w:type="spellStart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საბიუჯეტო</w:t>
            </w:r>
            <w:proofErr w:type="spellEnd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ორგანიზაციების</w:t>
            </w:r>
            <w:proofErr w:type="spellEnd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სესხის</w:t>
            </w:r>
            <w:proofErr w:type="spellEnd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სახით</w:t>
            </w:r>
            <w:proofErr w:type="spellEnd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არსებულ</w:t>
            </w:r>
            <w:proofErr w:type="spellEnd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ი ვალის</w:t>
            </w:r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</w:rPr>
              <w:t>ნაშ</w:t>
            </w:r>
            <w:proofErr w:type="spellEnd"/>
            <w:r w:rsidRPr="009A5FAB">
              <w:rPr>
                <w:rFonts w:ascii="Sylfaen" w:eastAsia="Times New Roman" w:hAnsi="Sylfaen" w:cs="Sylfaen"/>
                <w:b/>
                <w:bCs/>
                <w:sz w:val="18"/>
                <w:szCs w:val="18"/>
                <w:lang w:val="ka-GE"/>
              </w:rPr>
              <w:t>თი</w:t>
            </w:r>
          </w:p>
        </w:tc>
        <w:tc>
          <w:tcPr>
            <w:tcW w:w="1266" w:type="pct"/>
            <w:vAlign w:val="center"/>
          </w:tcPr>
          <w:p w:rsidR="009E10CF" w:rsidRPr="009A5FAB" w:rsidRDefault="00180F87" w:rsidP="00180F87">
            <w:pPr>
              <w:ind w:right="45" w:firstLineChars="100" w:firstLine="181"/>
              <w:jc w:val="right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33</w:t>
            </w:r>
            <w:r w:rsidR="00D82730" w:rsidRPr="009A5FAB">
              <w:rPr>
                <w:rFonts w:ascii="Arial" w:hAnsi="Arial" w:cs="Arial"/>
                <w:b/>
                <w:bCs/>
                <w:sz w:val="18"/>
                <w:szCs w:val="18"/>
              </w:rPr>
              <w:t>,</w:t>
            </w:r>
            <w:r w:rsidRPr="00180F87">
              <w:rPr>
                <w:rFonts w:ascii="Arial" w:hAnsi="Arial" w:cs="Arial"/>
                <w:b/>
                <w:bCs/>
                <w:sz w:val="18"/>
                <w:szCs w:val="18"/>
              </w:rPr>
              <w:t>286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.8</w:t>
            </w:r>
          </w:p>
        </w:tc>
      </w:tr>
    </w:tbl>
    <w:p w:rsidR="00396821" w:rsidRPr="009E10CF" w:rsidRDefault="00396821" w:rsidP="00396821">
      <w:pPr>
        <w:autoSpaceDE w:val="0"/>
        <w:autoSpaceDN w:val="0"/>
        <w:adjustRightInd w:val="0"/>
        <w:spacing w:after="0" w:line="240" w:lineRule="auto"/>
        <w:ind w:left="7200"/>
        <w:jc w:val="both"/>
        <w:rPr>
          <w:rFonts w:ascii="Sylfaen" w:hAnsi="Sylfaen" w:cs="Sylfaen"/>
          <w:b/>
          <w:i/>
          <w:szCs w:val="18"/>
          <w:shd w:val="clear" w:color="auto" w:fill="FFFFFF"/>
        </w:rPr>
      </w:pPr>
    </w:p>
    <w:p w:rsidR="00D63FD8" w:rsidRPr="00D63FD8" w:rsidRDefault="00B404A9" w:rsidP="00B40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</w:rPr>
      </w:pPr>
      <w:r w:rsidRPr="000C63C9">
        <w:rPr>
          <w:rFonts w:ascii="Sylfaen" w:hAnsi="Sylfaen"/>
          <w:lang w:val="ka-GE"/>
        </w:rPr>
        <w:t>202</w:t>
      </w:r>
      <w:r w:rsidR="00180F87">
        <w:rPr>
          <w:rFonts w:ascii="Sylfaen" w:hAnsi="Sylfaen"/>
        </w:rPr>
        <w:t>2</w:t>
      </w:r>
      <w:r w:rsidRPr="000C63C9">
        <w:rPr>
          <w:lang w:val="ka-GE"/>
        </w:rPr>
        <w:t xml:space="preserve"> </w:t>
      </w:r>
      <w:proofErr w:type="spellStart"/>
      <w:r w:rsidRPr="000C63C9">
        <w:rPr>
          <w:rFonts w:ascii="Sylfaen" w:hAnsi="Sylfaen" w:cs="Sylfaen"/>
        </w:rPr>
        <w:t>წლის</w:t>
      </w:r>
      <w:proofErr w:type="spellEnd"/>
      <w:r w:rsidRPr="000C63C9">
        <w:t xml:space="preserve"> </w:t>
      </w:r>
      <w:proofErr w:type="spellStart"/>
      <w:r w:rsidRPr="000C63C9">
        <w:rPr>
          <w:rFonts w:ascii="Sylfaen" w:hAnsi="Sylfaen" w:cs="Sylfaen"/>
        </w:rPr>
        <w:t>სა</w:t>
      </w:r>
      <w:r w:rsidRPr="00D63FD8">
        <w:rPr>
          <w:rFonts w:ascii="Sylfaen" w:hAnsi="Sylfaen" w:cs="Sylfaen"/>
        </w:rPr>
        <w:t>ხელმწიფო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ბიუჯეტის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პროექტი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ითვალისწინებს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="00103D04" w:rsidRPr="00D63FD8">
        <w:rPr>
          <w:rFonts w:ascii="Sylfaen" w:hAnsi="Sylfaen"/>
        </w:rPr>
        <w:t>სახაზინო</w:t>
      </w:r>
      <w:proofErr w:type="spellEnd"/>
      <w:r w:rsidR="00103D04" w:rsidRPr="00D63FD8">
        <w:rPr>
          <w:rFonts w:ascii="Sylfaen" w:hAnsi="Sylfaen"/>
        </w:rPr>
        <w:t xml:space="preserve"> </w:t>
      </w:r>
      <w:proofErr w:type="spellStart"/>
      <w:r w:rsidR="00103D04" w:rsidRPr="00D63FD8">
        <w:rPr>
          <w:rFonts w:ascii="Sylfaen" w:hAnsi="Sylfaen"/>
        </w:rPr>
        <w:t>ვალდებულებებისა</w:t>
      </w:r>
      <w:proofErr w:type="spellEnd"/>
      <w:r w:rsidR="00103D04" w:rsidRPr="00D63FD8">
        <w:rPr>
          <w:rFonts w:ascii="Sylfaen" w:hAnsi="Sylfaen"/>
        </w:rPr>
        <w:t xml:space="preserve"> </w:t>
      </w:r>
      <w:proofErr w:type="spellStart"/>
      <w:r w:rsidR="00103D04" w:rsidRPr="00D63FD8">
        <w:rPr>
          <w:rFonts w:ascii="Sylfaen" w:hAnsi="Sylfaen"/>
        </w:rPr>
        <w:t>და</w:t>
      </w:r>
      <w:proofErr w:type="spellEnd"/>
      <w:r w:rsidR="00103D04" w:rsidRPr="00D63FD8">
        <w:rPr>
          <w:rFonts w:ascii="Sylfaen" w:hAnsi="Sylfaen"/>
        </w:rPr>
        <w:t xml:space="preserve"> </w:t>
      </w:r>
      <w:proofErr w:type="spellStart"/>
      <w:r w:rsidR="00103D04" w:rsidRPr="00D63FD8">
        <w:rPr>
          <w:rFonts w:ascii="Sylfaen" w:hAnsi="Sylfaen"/>
        </w:rPr>
        <w:t>სახაზინო</w:t>
      </w:r>
      <w:proofErr w:type="spellEnd"/>
      <w:r w:rsidR="00103D04" w:rsidRPr="00D63FD8">
        <w:rPr>
          <w:rFonts w:ascii="Sylfaen" w:hAnsi="Sylfaen"/>
        </w:rPr>
        <w:t xml:space="preserve"> </w:t>
      </w:r>
      <w:proofErr w:type="spellStart"/>
      <w:r w:rsidR="00103D04" w:rsidRPr="00D63FD8">
        <w:rPr>
          <w:rFonts w:ascii="Sylfaen" w:hAnsi="Sylfaen"/>
        </w:rPr>
        <w:t>ობლიგაციების</w:t>
      </w:r>
      <w:proofErr w:type="spellEnd"/>
      <w:r w:rsidR="00103D04" w:rsidRPr="00D63FD8">
        <w:rPr>
          <w:rFonts w:ascii="Sylfaen" w:hAnsi="Sylfaen"/>
        </w:rPr>
        <w:t xml:space="preserve"> </w:t>
      </w:r>
      <w:r w:rsidR="008170FC" w:rsidRPr="00D63FD8">
        <w:rPr>
          <w:rFonts w:ascii="Sylfaen" w:hAnsi="Sylfaen"/>
          <w:lang w:val="ka-GE"/>
        </w:rPr>
        <w:t xml:space="preserve">საპროგნოზო </w:t>
      </w:r>
      <w:proofErr w:type="spellStart"/>
      <w:r w:rsidR="00103D04" w:rsidRPr="00D63FD8">
        <w:rPr>
          <w:rFonts w:ascii="Sylfaen" w:hAnsi="Sylfaen"/>
        </w:rPr>
        <w:t>გამოშვებ</w:t>
      </w:r>
      <w:proofErr w:type="spellEnd"/>
      <w:r w:rsidR="00103D04" w:rsidRPr="00D63FD8">
        <w:rPr>
          <w:rFonts w:ascii="Sylfaen" w:hAnsi="Sylfaen"/>
          <w:lang w:val="ka-GE"/>
        </w:rPr>
        <w:t>ას 2 850 000.0 ათასი ლარის ოდენობით</w:t>
      </w:r>
      <w:r w:rsidR="00D63FD8">
        <w:rPr>
          <w:rFonts w:ascii="Sylfaen" w:hAnsi="Sylfaen"/>
          <w:lang w:val="ka-GE"/>
        </w:rPr>
        <w:t xml:space="preserve"> და</w:t>
      </w:r>
      <w:r w:rsidR="00103D04" w:rsidRPr="00D63FD8">
        <w:rPr>
          <w:rFonts w:ascii="Sylfaen" w:hAnsi="Sylfaen"/>
          <w:lang w:val="ka-GE"/>
        </w:rPr>
        <w:t xml:space="preserve"> </w:t>
      </w:r>
      <w:proofErr w:type="spellStart"/>
      <w:r w:rsidRPr="00D63FD8">
        <w:rPr>
          <w:rFonts w:ascii="Sylfaen" w:hAnsi="Sylfaen" w:cs="Sylfaen"/>
        </w:rPr>
        <w:t>საშინაო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ვალდებულებების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მოსალოდნელ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კლებას</w:t>
      </w:r>
      <w:proofErr w:type="spellEnd"/>
      <w:r w:rsidRPr="00D63FD8">
        <w:rPr>
          <w:rFonts w:ascii="Sylfaen" w:hAnsi="Sylfaen"/>
        </w:rPr>
        <w:t xml:space="preserve"> </w:t>
      </w:r>
      <w:r w:rsidRPr="00D63FD8">
        <w:rPr>
          <w:rFonts w:ascii="Sylfaen" w:hAnsi="Sylfaen"/>
          <w:lang w:val="ka-GE"/>
        </w:rPr>
        <w:t xml:space="preserve">1 </w:t>
      </w:r>
      <w:r w:rsidR="008170FC" w:rsidRPr="00D63FD8">
        <w:rPr>
          <w:rFonts w:ascii="Sylfaen" w:hAnsi="Sylfaen"/>
        </w:rPr>
        <w:t>5</w:t>
      </w:r>
      <w:r w:rsidR="008170FC" w:rsidRPr="00D63FD8">
        <w:rPr>
          <w:rFonts w:ascii="Sylfaen" w:hAnsi="Sylfaen"/>
          <w:lang w:val="ka-GE"/>
        </w:rPr>
        <w:t>5</w:t>
      </w:r>
      <w:r w:rsidR="008170FC" w:rsidRPr="00D63FD8">
        <w:rPr>
          <w:rFonts w:ascii="Sylfaen" w:hAnsi="Sylfaen"/>
        </w:rPr>
        <w:t>0</w:t>
      </w:r>
      <w:r w:rsidR="008170FC" w:rsidRPr="00D63FD8">
        <w:rPr>
          <w:rFonts w:ascii="Sylfaen" w:hAnsi="Sylfaen"/>
          <w:lang w:val="ka-GE"/>
        </w:rPr>
        <w:t xml:space="preserve"> </w:t>
      </w:r>
      <w:r w:rsidRPr="00D63FD8">
        <w:rPr>
          <w:rFonts w:ascii="Sylfaen" w:hAnsi="Sylfaen"/>
          <w:lang w:val="ka-GE"/>
        </w:rPr>
        <w:t>000</w:t>
      </w:r>
      <w:r w:rsidRPr="00D63FD8">
        <w:rPr>
          <w:rFonts w:ascii="Sylfaen" w:hAnsi="Sylfaen"/>
        </w:rPr>
        <w:t xml:space="preserve">.0 </w:t>
      </w:r>
      <w:proofErr w:type="spellStart"/>
      <w:r w:rsidRPr="00D63FD8">
        <w:rPr>
          <w:rFonts w:ascii="Sylfaen" w:hAnsi="Sylfaen" w:cs="Sylfaen"/>
        </w:rPr>
        <w:t>ათასი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ლარის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ოდენობით</w:t>
      </w:r>
      <w:proofErr w:type="spellEnd"/>
      <w:r w:rsidR="008170FC" w:rsidRPr="00D63FD8">
        <w:rPr>
          <w:rFonts w:ascii="Sylfaen" w:hAnsi="Sylfaen"/>
          <w:lang w:val="ka-GE"/>
        </w:rPr>
        <w:t>. შესაბამისად, 2022 წლის ბოლოს მდგო</w:t>
      </w:r>
      <w:r w:rsidR="00D63FD8">
        <w:rPr>
          <w:rFonts w:ascii="Sylfaen" w:hAnsi="Sylfaen"/>
          <w:lang w:val="ka-GE"/>
        </w:rPr>
        <w:t>მ</w:t>
      </w:r>
      <w:r w:rsidR="008170FC" w:rsidRPr="00D63FD8">
        <w:rPr>
          <w:rFonts w:ascii="Sylfaen" w:hAnsi="Sylfaen"/>
          <w:lang w:val="ka-GE"/>
        </w:rPr>
        <w:t>არეობით საშინაო ვალდებულებების წმინდა ზრდის საპროგნოზო მაჩვენებელი შეადგენს 1 300 000.0 ათას ლარს (2 850 000.0 – 1 5</w:t>
      </w:r>
      <w:r w:rsidR="00CD6196">
        <w:rPr>
          <w:rFonts w:ascii="Sylfaen" w:hAnsi="Sylfaen"/>
        </w:rPr>
        <w:t>5</w:t>
      </w:r>
      <w:r w:rsidR="008170FC" w:rsidRPr="00D63FD8">
        <w:rPr>
          <w:rFonts w:ascii="Sylfaen" w:hAnsi="Sylfaen"/>
          <w:lang w:val="ka-GE"/>
        </w:rPr>
        <w:t>0 000.0</w:t>
      </w:r>
      <w:r w:rsidR="00D63FD8" w:rsidRPr="00D63FD8">
        <w:rPr>
          <w:rFonts w:ascii="Sylfaen" w:hAnsi="Sylfaen"/>
          <w:lang w:val="ka-GE"/>
        </w:rPr>
        <w:t>).</w:t>
      </w:r>
    </w:p>
    <w:p w:rsidR="00B404A9" w:rsidRPr="008739E5" w:rsidRDefault="00D63FD8" w:rsidP="00B404A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/>
          <w:lang w:val="ka-GE"/>
        </w:rPr>
      </w:pPr>
      <w:r w:rsidRPr="00D63FD8">
        <w:rPr>
          <w:rFonts w:ascii="Sylfaen" w:hAnsi="Sylfaen"/>
          <w:lang w:val="ka-GE"/>
        </w:rPr>
        <w:t xml:space="preserve">2022 წლის </w:t>
      </w:r>
      <w:proofErr w:type="spellStart"/>
      <w:r w:rsidRPr="00D63FD8">
        <w:rPr>
          <w:rFonts w:ascii="Sylfaen" w:hAnsi="Sylfaen" w:cs="Sylfaen"/>
        </w:rPr>
        <w:t>სახელმწიფო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ბიუჯეტის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პროექტი</w:t>
      </w:r>
      <w:proofErr w:type="spellEnd"/>
      <w:r w:rsidRPr="00D63FD8">
        <w:rPr>
          <w:rFonts w:ascii="Sylfaen" w:hAnsi="Sylfaen"/>
        </w:rPr>
        <w:t xml:space="preserve"> </w:t>
      </w:r>
      <w:r w:rsidRPr="00D63FD8">
        <w:rPr>
          <w:rFonts w:ascii="Sylfaen" w:hAnsi="Sylfaen"/>
          <w:lang w:val="ka-GE"/>
        </w:rPr>
        <w:t xml:space="preserve">ასევე </w:t>
      </w:r>
      <w:proofErr w:type="spellStart"/>
      <w:r w:rsidRPr="00D63FD8">
        <w:rPr>
          <w:rFonts w:ascii="Sylfaen" w:hAnsi="Sylfaen" w:cs="Sylfaen"/>
        </w:rPr>
        <w:t>ითვალისწინებს</w:t>
      </w:r>
      <w:proofErr w:type="spellEnd"/>
      <w:r w:rsidRPr="00D63FD8">
        <w:rPr>
          <w:rFonts w:ascii="Sylfaen" w:hAnsi="Sylfaen" w:cs="Sylfaen"/>
          <w:lang w:val="ka-GE"/>
        </w:rPr>
        <w:t xml:space="preserve"> </w:t>
      </w:r>
      <w:proofErr w:type="spellStart"/>
      <w:r w:rsidRPr="00D63FD8">
        <w:rPr>
          <w:rFonts w:ascii="Sylfaen" w:hAnsi="Sylfaen" w:cs="Sylfaen"/>
        </w:rPr>
        <w:t>სახელმწიფო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ობლიგაციების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ძირითადი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თანხის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დაფარვას</w:t>
      </w:r>
      <w:proofErr w:type="spellEnd"/>
      <w:r w:rsidRPr="00D63FD8">
        <w:rPr>
          <w:rFonts w:ascii="Sylfaen" w:hAnsi="Sylfaen"/>
        </w:rPr>
        <w:t xml:space="preserve"> (</w:t>
      </w:r>
      <w:proofErr w:type="spellStart"/>
      <w:r w:rsidRPr="00D63FD8">
        <w:rPr>
          <w:rFonts w:ascii="Sylfaen" w:hAnsi="Sylfaen" w:cs="Sylfaen"/>
        </w:rPr>
        <w:t>სებ</w:t>
      </w:r>
      <w:r w:rsidRPr="00D63FD8">
        <w:rPr>
          <w:rFonts w:ascii="Sylfaen" w:hAnsi="Sylfaen"/>
        </w:rPr>
        <w:t>-</w:t>
      </w:r>
      <w:r w:rsidRPr="00D63FD8">
        <w:rPr>
          <w:rFonts w:ascii="Sylfaen" w:hAnsi="Sylfaen" w:cs="Sylfaen"/>
        </w:rPr>
        <w:t>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მიმართ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ვალი</w:t>
      </w:r>
      <w:proofErr w:type="spellEnd"/>
      <w:r w:rsidRPr="00D63FD8">
        <w:rPr>
          <w:rFonts w:ascii="Sylfaen" w:hAnsi="Sylfaen"/>
        </w:rPr>
        <w:t xml:space="preserve">) – </w:t>
      </w:r>
      <w:r w:rsidRPr="00D63FD8">
        <w:rPr>
          <w:rFonts w:ascii="Sylfaen" w:hAnsi="Sylfaen"/>
          <w:lang w:val="ka-GE"/>
        </w:rPr>
        <w:t>40 000</w:t>
      </w:r>
      <w:r w:rsidRPr="00D63FD8">
        <w:rPr>
          <w:rFonts w:ascii="Sylfaen" w:hAnsi="Sylfaen"/>
        </w:rPr>
        <w:t xml:space="preserve">.0 </w:t>
      </w:r>
      <w:proofErr w:type="spellStart"/>
      <w:r w:rsidRPr="00D63FD8">
        <w:rPr>
          <w:rFonts w:ascii="Sylfaen" w:hAnsi="Sylfaen" w:cs="Sylfaen"/>
        </w:rPr>
        <w:t>ათასი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ლარის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Pr="00D63FD8">
        <w:rPr>
          <w:rFonts w:ascii="Sylfaen" w:hAnsi="Sylfaen" w:cs="Sylfaen"/>
        </w:rPr>
        <w:t>ოდენობით</w:t>
      </w:r>
      <w:proofErr w:type="spellEnd"/>
      <w:r w:rsidRPr="00D63FD8">
        <w:rPr>
          <w:rFonts w:ascii="Sylfaen" w:hAnsi="Sylfaen"/>
        </w:rPr>
        <w:t xml:space="preserve"> </w:t>
      </w:r>
      <w:proofErr w:type="spellStart"/>
      <w:r w:rsidR="00B404A9" w:rsidRPr="00D63FD8">
        <w:rPr>
          <w:rFonts w:ascii="Sylfaen" w:hAnsi="Sylfaen" w:cs="Sylfaen"/>
        </w:rPr>
        <w:t>საქართველოს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მთავრობის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და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საქართველოს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ეროვნული</w:t>
      </w:r>
      <w:proofErr w:type="spellEnd"/>
      <w:r w:rsidR="00B404A9" w:rsidRPr="008739E5">
        <w:t xml:space="preserve"> </w:t>
      </w:r>
      <w:r w:rsidR="00B404A9" w:rsidRPr="00041224">
        <w:rPr>
          <w:rFonts w:ascii="Sylfaen" w:hAnsi="Sylfaen"/>
          <w:lang w:val="ka-GE"/>
        </w:rPr>
        <w:t>ბანკის 2006 წლის 15 მაისის „საქართველოს მთავრობის საქართველოს ეროვნული ბანკისადმი დავალიანების</w:t>
      </w:r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დაფარვის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lastRenderedPageBreak/>
        <w:t>ღონისძიებების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შესახებ</w:t>
      </w:r>
      <w:proofErr w:type="spellEnd"/>
      <w:r w:rsidR="00B404A9" w:rsidRPr="008739E5">
        <w:t xml:space="preserve">“ </w:t>
      </w:r>
      <w:r w:rsidR="00B404A9" w:rsidRPr="00041224">
        <w:rPr>
          <w:rFonts w:ascii="Sylfaen" w:hAnsi="Sylfaen"/>
          <w:lang w:val="ka-GE"/>
        </w:rPr>
        <w:t>2006 წლის 20 მარტის</w:t>
      </w:r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შეთანხმებაში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ცვლილებების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შეტანის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თაობაზე</w:t>
      </w:r>
      <w:proofErr w:type="spellEnd"/>
      <w:r w:rsidR="00B404A9" w:rsidRPr="008739E5">
        <w:t xml:space="preserve">“ </w:t>
      </w:r>
      <w:proofErr w:type="spellStart"/>
      <w:r w:rsidR="00B404A9" w:rsidRPr="008739E5">
        <w:rPr>
          <w:rFonts w:ascii="Sylfaen" w:hAnsi="Sylfaen" w:cs="Sylfaen"/>
        </w:rPr>
        <w:t>შეთანხმების</w:t>
      </w:r>
      <w:proofErr w:type="spellEnd"/>
      <w:r w:rsidR="00B404A9" w:rsidRPr="008739E5">
        <w:t xml:space="preserve"> </w:t>
      </w:r>
      <w:proofErr w:type="spellStart"/>
      <w:r w:rsidR="00B404A9" w:rsidRPr="008739E5">
        <w:rPr>
          <w:rFonts w:ascii="Sylfaen" w:hAnsi="Sylfaen" w:cs="Sylfaen"/>
        </w:rPr>
        <w:t>შესაბამისად</w:t>
      </w:r>
      <w:proofErr w:type="spellEnd"/>
      <w:r w:rsidR="00B404A9" w:rsidRPr="008739E5">
        <w:t xml:space="preserve">. </w:t>
      </w:r>
    </w:p>
    <w:p w:rsidR="00C50CA0" w:rsidRPr="00C50CA0" w:rsidRDefault="002A01C6" w:rsidP="00C50C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</w:rPr>
      </w:pPr>
      <w:r w:rsidRPr="008739E5">
        <w:rPr>
          <w:rFonts w:ascii="Sylfaen" w:hAnsi="Sylfaen" w:cs="Sylfaen"/>
          <w:szCs w:val="21"/>
          <w:shd w:val="clear" w:color="auto" w:fill="FFFFFF"/>
          <w:lang w:val="ka-GE"/>
        </w:rPr>
        <w:t>სახელმწიფო საშინაო ვალდებულებების პროცენტის მომსახურებისათვის საქართველოს</w:t>
      </w:r>
      <w:r w:rsidRPr="00696AF7">
        <w:rPr>
          <w:rFonts w:ascii="Sylfaen" w:hAnsi="Sylfaen" w:cs="Sylfaen"/>
          <w:szCs w:val="21"/>
          <w:shd w:val="clear" w:color="auto" w:fill="FFFFFF"/>
          <w:lang w:val="ka-GE"/>
        </w:rPr>
        <w:t xml:space="preserve"> 202</w:t>
      </w:r>
      <w:r>
        <w:rPr>
          <w:rFonts w:ascii="Sylfaen" w:hAnsi="Sylfaen" w:cs="Sylfaen"/>
          <w:szCs w:val="21"/>
          <w:shd w:val="clear" w:color="auto" w:fill="FFFFFF"/>
        </w:rPr>
        <w:t>2</w:t>
      </w:r>
      <w:r w:rsidRPr="00696AF7">
        <w:rPr>
          <w:rFonts w:ascii="Sylfaen" w:hAnsi="Sylfaen" w:cs="Sylfaen"/>
          <w:szCs w:val="21"/>
          <w:shd w:val="clear" w:color="auto" w:fill="FFFFFF"/>
          <w:lang w:val="ka-GE"/>
        </w:rPr>
        <w:t xml:space="preserve"> წლის </w:t>
      </w:r>
      <w:proofErr w:type="spellStart"/>
      <w:r w:rsidRPr="00C50CA0">
        <w:rPr>
          <w:rFonts w:ascii="Sylfaen" w:hAnsi="Sylfaen" w:cs="Sylfaen"/>
        </w:rPr>
        <w:t>სახელმწიფო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Pr="00C50CA0">
        <w:rPr>
          <w:rFonts w:ascii="Sylfaen" w:hAnsi="Sylfaen" w:cs="Sylfaen"/>
        </w:rPr>
        <w:t>ბიუჯეტის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Pr="00C50CA0">
        <w:rPr>
          <w:rFonts w:ascii="Sylfaen" w:hAnsi="Sylfaen" w:cs="Sylfaen"/>
        </w:rPr>
        <w:t>პროექტით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Pr="00C50CA0">
        <w:rPr>
          <w:rFonts w:ascii="Sylfaen" w:hAnsi="Sylfaen" w:cs="Sylfaen"/>
        </w:rPr>
        <w:t>გათვალისწინებულია</w:t>
      </w:r>
      <w:proofErr w:type="spellEnd"/>
      <w:r w:rsidRPr="00C50CA0">
        <w:rPr>
          <w:rFonts w:ascii="Sylfaen" w:hAnsi="Sylfaen" w:cs="Sylfaen"/>
        </w:rPr>
        <w:t xml:space="preserve"> 525 000.0 </w:t>
      </w:r>
      <w:proofErr w:type="spellStart"/>
      <w:r w:rsidRPr="00C50CA0">
        <w:rPr>
          <w:rFonts w:ascii="Sylfaen" w:hAnsi="Sylfaen" w:cs="Sylfaen"/>
        </w:rPr>
        <w:t>ათასი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Pr="00C50CA0">
        <w:rPr>
          <w:rFonts w:ascii="Sylfaen" w:hAnsi="Sylfaen" w:cs="Sylfaen"/>
        </w:rPr>
        <w:t>ლარი</w:t>
      </w:r>
      <w:proofErr w:type="spellEnd"/>
      <w:r w:rsidRPr="00C50CA0">
        <w:rPr>
          <w:rFonts w:ascii="Sylfaen" w:hAnsi="Sylfaen" w:cs="Sylfaen"/>
        </w:rPr>
        <w:t>.</w:t>
      </w:r>
    </w:p>
    <w:p w:rsidR="00B404A9" w:rsidRDefault="00B404A9" w:rsidP="00C50CA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Sylfaen" w:hAnsi="Sylfaen" w:cs="Sylfaen"/>
          <w:lang w:val="ka-GE"/>
        </w:rPr>
      </w:pPr>
      <w:r w:rsidRPr="00C50CA0">
        <w:rPr>
          <w:rFonts w:ascii="Sylfaen" w:hAnsi="Sylfaen" w:cs="Sylfaen"/>
        </w:rPr>
        <w:t>202</w:t>
      </w:r>
      <w:r w:rsidR="002A01C6" w:rsidRPr="00C50CA0">
        <w:rPr>
          <w:rFonts w:ascii="Sylfaen" w:hAnsi="Sylfaen" w:cs="Sylfaen"/>
        </w:rPr>
        <w:t>2</w:t>
      </w:r>
      <w:r w:rsidRPr="00C50CA0">
        <w:rPr>
          <w:rFonts w:ascii="Sylfaen" w:hAnsi="Sylfaen" w:cs="Sylfaen"/>
        </w:rPr>
        <w:t xml:space="preserve"> </w:t>
      </w:r>
      <w:proofErr w:type="spellStart"/>
      <w:r w:rsidRPr="008739E5">
        <w:rPr>
          <w:rFonts w:ascii="Sylfaen" w:hAnsi="Sylfaen" w:cs="Sylfaen"/>
        </w:rPr>
        <w:t>წლის</w:t>
      </w:r>
      <w:proofErr w:type="spellEnd"/>
      <w:r w:rsidRPr="00C50CA0">
        <w:rPr>
          <w:rFonts w:ascii="Sylfaen" w:hAnsi="Sylfaen" w:cs="Sylfaen"/>
        </w:rPr>
        <w:t xml:space="preserve"> </w:t>
      </w:r>
      <w:proofErr w:type="spellStart"/>
      <w:r w:rsidRPr="008739E5">
        <w:rPr>
          <w:rFonts w:ascii="Sylfaen" w:hAnsi="Sylfaen" w:cs="Sylfaen"/>
        </w:rPr>
        <w:t>სახელმწიფო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ბიუჯეტის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კანონის</w:t>
      </w:r>
      <w:proofErr w:type="spellEnd"/>
      <w:r w:rsidRPr="008739E5">
        <w:t xml:space="preserve"> </w:t>
      </w:r>
      <w:r w:rsidR="00D82730">
        <w:rPr>
          <w:rFonts w:ascii="Sylfaen" w:hAnsi="Sylfaen"/>
          <w:lang w:val="ka-GE"/>
        </w:rPr>
        <w:t xml:space="preserve">ცვლილების </w:t>
      </w:r>
      <w:proofErr w:type="spellStart"/>
      <w:r w:rsidRPr="008739E5">
        <w:rPr>
          <w:rFonts w:ascii="Sylfaen" w:hAnsi="Sylfaen" w:cs="Sylfaen"/>
        </w:rPr>
        <w:t>პროექტით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განსაზღვრული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საგარეო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და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საშინაო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ვალის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პარამეტრები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უზრუნველყოფენ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სახელმწიფო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ვალის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მდგრადობის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შენარჩუნებას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საშუალოვადიან</w:t>
      </w:r>
      <w:proofErr w:type="spellEnd"/>
      <w:r w:rsidRPr="008739E5">
        <w:t xml:space="preserve"> </w:t>
      </w:r>
      <w:proofErr w:type="spellStart"/>
      <w:r w:rsidRPr="008739E5">
        <w:rPr>
          <w:rFonts w:ascii="Sylfaen" w:hAnsi="Sylfaen" w:cs="Sylfaen"/>
        </w:rPr>
        <w:t>პერიოდში</w:t>
      </w:r>
      <w:proofErr w:type="spellEnd"/>
      <w:r w:rsidRPr="008739E5">
        <w:rPr>
          <w:rFonts w:ascii="Sylfaen" w:hAnsi="Sylfaen" w:cs="Sylfaen"/>
          <w:lang w:val="ka-GE"/>
        </w:rPr>
        <w:t>.</w:t>
      </w:r>
    </w:p>
    <w:p w:rsidR="00396821" w:rsidRPr="00B73E97" w:rsidRDefault="00396821" w:rsidP="00396821">
      <w:pPr>
        <w:tabs>
          <w:tab w:val="left" w:pos="720"/>
        </w:tabs>
        <w:spacing w:after="0" w:line="240" w:lineRule="auto"/>
        <w:ind w:firstLine="540"/>
        <w:jc w:val="both"/>
        <w:rPr>
          <w:rFonts w:ascii="Sylfaen" w:hAnsi="Sylfaen" w:cs="Sylfaen"/>
          <w:lang w:val="ka-GE"/>
        </w:rPr>
      </w:pPr>
    </w:p>
    <w:p w:rsidR="00FE1A0F" w:rsidRDefault="00FE1A0F" w:rsidP="009A5FAB">
      <w:pPr>
        <w:tabs>
          <w:tab w:val="left" w:pos="720"/>
        </w:tabs>
        <w:spacing w:after="0" w:line="240" w:lineRule="auto"/>
        <w:jc w:val="center"/>
        <w:rPr>
          <w:rFonts w:ascii="Sylfaen" w:hAnsi="Sylfaen"/>
          <w:b/>
          <w:lang w:val="ka-GE"/>
        </w:rPr>
      </w:pPr>
      <w:r w:rsidRPr="00B73E97">
        <w:rPr>
          <w:rFonts w:ascii="Sylfaen" w:hAnsi="Sylfaen"/>
          <w:b/>
          <w:lang w:val="ka-GE"/>
        </w:rPr>
        <w:t>მთავრობის ვალის საპროგნოზო ზღვრული მოცულობა 202</w:t>
      </w:r>
      <w:r w:rsidR="002A01C6">
        <w:rPr>
          <w:rFonts w:ascii="Sylfaen" w:hAnsi="Sylfaen"/>
          <w:b/>
        </w:rPr>
        <w:t>2</w:t>
      </w:r>
      <w:r w:rsidRPr="00B73E97">
        <w:rPr>
          <w:rFonts w:ascii="Sylfaen" w:hAnsi="Sylfaen"/>
          <w:b/>
          <w:lang w:val="ka-GE"/>
        </w:rPr>
        <w:t xml:space="preserve"> წლის ბოლოსთვის</w:t>
      </w:r>
    </w:p>
    <w:p w:rsidR="00BB0398" w:rsidRDefault="00BB0398" w:rsidP="00484C3A">
      <w:pPr>
        <w:tabs>
          <w:tab w:val="left" w:pos="720"/>
          <w:tab w:val="left" w:pos="7371"/>
        </w:tabs>
        <w:spacing w:after="0" w:line="240" w:lineRule="auto"/>
        <w:jc w:val="both"/>
        <w:rPr>
          <w:rFonts w:ascii="Sylfaen" w:hAnsi="Sylfaen"/>
          <w:b/>
          <w:lang w:val="ka-GE"/>
        </w:rPr>
      </w:pPr>
    </w:p>
    <w:p w:rsidR="00BB0398" w:rsidRPr="00BB0398" w:rsidRDefault="00BB0398" w:rsidP="00E8165B">
      <w:pPr>
        <w:tabs>
          <w:tab w:val="left" w:pos="720"/>
        </w:tabs>
        <w:spacing w:after="0" w:line="240" w:lineRule="auto"/>
        <w:ind w:right="333"/>
        <w:jc w:val="right"/>
        <w:rPr>
          <w:rFonts w:ascii="Sylfaen" w:hAnsi="Sylfaen"/>
          <w:b/>
          <w:i/>
          <w:sz w:val="18"/>
          <w:szCs w:val="18"/>
          <w:lang w:val="ka-GE"/>
        </w:rPr>
      </w:pPr>
      <w:r>
        <w:rPr>
          <w:rFonts w:ascii="Sylfaen" w:hAnsi="Sylfaen"/>
          <w:b/>
          <w:i/>
          <w:sz w:val="18"/>
          <w:szCs w:val="18"/>
          <w:lang w:val="ka-GE"/>
        </w:rPr>
        <w:t xml:space="preserve">                                                                                                                                                                              </w:t>
      </w:r>
      <w:r w:rsidRPr="00BB0398">
        <w:rPr>
          <w:rFonts w:ascii="Sylfaen" w:hAnsi="Sylfaen"/>
          <w:b/>
          <w:i/>
          <w:sz w:val="18"/>
          <w:szCs w:val="18"/>
          <w:lang w:val="ka-GE"/>
        </w:rPr>
        <w:t>ათასი ლარი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8018"/>
        <w:gridCol w:w="2025"/>
      </w:tblGrid>
      <w:tr w:rsidR="00CE433A" w:rsidRPr="003F0E4D" w:rsidTr="003F0E4D">
        <w:trPr>
          <w:trHeight w:val="113"/>
          <w:tblHeader/>
          <w:jc w:val="center"/>
        </w:trPr>
        <w:tc>
          <w:tcPr>
            <w:tcW w:w="3992" w:type="pct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RANGE!C3:D44"/>
            <w:proofErr w:type="spellStart"/>
            <w:r w:rsidRPr="003F0E4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კრედიტორი</w:t>
            </w:r>
            <w:proofErr w:type="spellEnd"/>
            <w:r w:rsidRPr="003F0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bookmarkEnd w:id="0"/>
          </w:p>
        </w:tc>
        <w:tc>
          <w:tcPr>
            <w:tcW w:w="1008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საპროგნოზო</w:t>
            </w:r>
            <w:proofErr w:type="spellEnd"/>
            <w:r w:rsidRPr="003F0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3F0E4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  <w:r w:rsidRPr="003F0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31.12.2022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3F0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3F0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3F0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3F0E4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3F0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ზღვრული</w:t>
            </w:r>
            <w:proofErr w:type="spellEnd"/>
            <w:r w:rsidRPr="003F0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მოცულობა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26,644,371.3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მრავალმხრივი</w:t>
            </w:r>
            <w:proofErr w:type="spellEnd"/>
            <w:r w:rsidRPr="003F0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19,461,977.1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მსოფლიო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(WB)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6,637,250.9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სოფლის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მეურნეობის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ფონდი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(IFAD)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133,640.8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საერთაშორისო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სავალუტო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ფონდი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(IMF)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650,262.1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რეკონსტრუქციისა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და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(EBRD)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1,022,815.5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val="ka-GE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აზიის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(ADB)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6,815,568.9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ევროპის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 (EIB)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3,001,450.6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ევროკავშირი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(EU)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485,875.6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აზიის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ინფრასტრუქტურის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საინვესტიციო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(AIIB)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668,473.8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ევროსაბჭოს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განვითარების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(CEB)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38,435.3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სკანდინავიური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გარემოსდაცვის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საფინანსო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კორპორაცია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(NEFCO) 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8,203.5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ორმხრივი</w:t>
            </w:r>
            <w:proofErr w:type="spellEnd"/>
            <w:r w:rsidRPr="003F0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კრედიტორებისაგან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5,619,250.9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ავსტრია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48,689.5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აზერბაიჯანი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10,102.1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თურქმენეთი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658.1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თურქეთი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19,670.7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ირანი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7,368.7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რუსეთი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69,051.0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სომხეთი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8,911.3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ყაზახეთი</w:t>
            </w:r>
            <w:bookmarkStart w:id="1" w:name="_GoBack"/>
            <w:bookmarkEnd w:id="1"/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10,988.7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2,116,206.3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იაპონია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587,506.0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კუვეიტი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57,970.3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ნიდერლანდები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243.4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ამერიკა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33,863.8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საფრანგეთი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2,648,021.1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სხვა</w:t>
            </w:r>
            <w:proofErr w:type="spellEnd"/>
            <w:r w:rsidRPr="003F0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საგარეო</w:t>
            </w:r>
            <w:proofErr w:type="spellEnd"/>
            <w:r w:rsidRPr="003F0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1,558,950.0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ევრობონდები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1,558,950.0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E2EFDA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3F0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გარანტიით</w:t>
            </w:r>
            <w:proofErr w:type="spellEnd"/>
            <w:r w:rsidRPr="003F0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აღებული</w:t>
            </w:r>
            <w:proofErr w:type="spellEnd"/>
            <w:r w:rsidRPr="003F0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კრედიტები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E2EFDA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4,193.3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გერმანია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4,193.3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3F0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საშინაო</w:t>
            </w:r>
            <w:proofErr w:type="spellEnd"/>
            <w:r w:rsidRPr="003F0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3F0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7,091,296.6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ეროვნული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ბანკისთვის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განკუთვნილი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ერთწლიანი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ყოველწლიურად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განახლებადი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ობლიგაცია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120,846.0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სხვადასხვა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ვადის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სახელმწიფო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ობლიგაციები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ღია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ბაზრის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ოპერაციებისთვის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152,000.0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ფინანსთა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სახაზინო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ვალდებულებები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610,520.4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ფინანსთა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სამინისტროს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სახაზინო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ობლიგაციები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6,181,930.3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საბიუჯეტო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ორგანიზაციების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სესხის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სახით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არსებულ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color w:val="000000"/>
                <w:sz w:val="18"/>
                <w:szCs w:val="18"/>
              </w:rPr>
              <w:t>ვალი</w:t>
            </w:r>
            <w:proofErr w:type="spellEnd"/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noWrap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>26,000.0</w:t>
            </w:r>
          </w:p>
        </w:tc>
      </w:tr>
      <w:tr w:rsidR="00CE433A" w:rsidRPr="003F0E4D" w:rsidTr="003F0E4D">
        <w:trPr>
          <w:trHeight w:val="113"/>
          <w:jc w:val="center"/>
        </w:trPr>
        <w:tc>
          <w:tcPr>
            <w:tcW w:w="3992" w:type="pct"/>
            <w:tcBorders>
              <w:top w:val="nil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3F0E4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სულ</w:t>
            </w:r>
            <w:proofErr w:type="spellEnd"/>
            <w:r w:rsidRPr="003F0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მთავრობის</w:t>
            </w:r>
            <w:proofErr w:type="spellEnd"/>
            <w:r w:rsidRPr="003F0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ვალის</w:t>
            </w:r>
            <w:proofErr w:type="spellEnd"/>
            <w:r w:rsidRPr="003F0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3F0E4D">
              <w:rPr>
                <w:rFonts w:ascii="Sylfaen" w:eastAsia="Times New Roman" w:hAnsi="Sylfaen" w:cs="Sylfaen"/>
                <w:b/>
                <w:bCs/>
                <w:color w:val="000000"/>
                <w:sz w:val="18"/>
                <w:szCs w:val="18"/>
              </w:rPr>
              <w:t>ნაშთი</w:t>
            </w:r>
            <w:proofErr w:type="spellEnd"/>
          </w:p>
        </w:tc>
        <w:tc>
          <w:tcPr>
            <w:tcW w:w="1008" w:type="pct"/>
            <w:tcBorders>
              <w:top w:val="nil"/>
              <w:left w:val="nil"/>
              <w:bottom w:val="single" w:sz="4" w:space="0" w:color="A6A6A6"/>
              <w:right w:val="single" w:sz="4" w:space="0" w:color="A6A6A6"/>
            </w:tcBorders>
            <w:shd w:val="clear" w:color="000000" w:fill="D9E1F2"/>
            <w:vAlign w:val="center"/>
            <w:hideMark/>
          </w:tcPr>
          <w:p w:rsidR="00CE433A" w:rsidRPr="003F0E4D" w:rsidRDefault="00CE433A" w:rsidP="00CE433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3F0E4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33,735,667.9</w:t>
            </w:r>
          </w:p>
        </w:tc>
      </w:tr>
    </w:tbl>
    <w:p w:rsidR="00B93A56" w:rsidRDefault="00B93A56" w:rsidP="003B0642">
      <w:pPr>
        <w:spacing w:after="0" w:line="240" w:lineRule="auto"/>
        <w:jc w:val="right"/>
        <w:rPr>
          <w:rFonts w:ascii="Sylfaen" w:hAnsi="Sylfaen"/>
          <w:b/>
          <w:i/>
          <w:noProof/>
          <w:color w:val="000000"/>
          <w:sz w:val="18"/>
          <w:szCs w:val="18"/>
        </w:rPr>
      </w:pPr>
    </w:p>
    <w:p w:rsidR="005406F9" w:rsidRDefault="005406F9" w:rsidP="003B0642">
      <w:pPr>
        <w:spacing w:after="0" w:line="240" w:lineRule="auto"/>
        <w:jc w:val="right"/>
        <w:rPr>
          <w:rFonts w:ascii="Sylfaen" w:hAnsi="Sylfaen"/>
          <w:b/>
          <w:i/>
          <w:noProof/>
          <w:color w:val="000000"/>
          <w:sz w:val="18"/>
          <w:szCs w:val="18"/>
        </w:rPr>
      </w:pPr>
    </w:p>
    <w:p w:rsidR="005406F9" w:rsidRPr="00E8165B" w:rsidRDefault="005406F9" w:rsidP="00E8165B">
      <w:pPr>
        <w:spacing w:after="0" w:line="240" w:lineRule="auto"/>
        <w:ind w:right="243"/>
        <w:jc w:val="both"/>
        <w:rPr>
          <w:rFonts w:ascii="Sylfaen" w:hAnsi="Sylfaen"/>
          <w:sz w:val="16"/>
          <w:szCs w:val="16"/>
        </w:rPr>
      </w:pPr>
      <w:r w:rsidRPr="005406F9">
        <w:rPr>
          <w:rFonts w:ascii="Sylfaen" w:hAnsi="Sylfaen"/>
          <w:sz w:val="16"/>
          <w:szCs w:val="16"/>
          <w:lang w:val="ka-GE"/>
        </w:rPr>
        <w:t xml:space="preserve"> გამოთვლისას გამოყენებულია გაცვლითი კურსი (2021 წლის 24 სექტემბრის მდგომარეობით):  1 EUR = 3.6532 GEL; 1 SDR = 4.4236 GEL; 10 CNY = 4.8281 GEL; 100 JPY = 2.8378 GEL; 1 KWD = 10.3585 GEL; 1 USD = 3.1179 GEL.</w:t>
      </w:r>
    </w:p>
    <w:p w:rsidR="00FB7087" w:rsidRPr="00B73E97" w:rsidRDefault="00484C3A" w:rsidP="003B0642">
      <w:pPr>
        <w:spacing w:after="0" w:line="240" w:lineRule="auto"/>
        <w:jc w:val="right"/>
        <w:rPr>
          <w:rFonts w:ascii="Sylfaen" w:hAnsi="Sylfaen"/>
          <w:b/>
          <w:bCs/>
          <w:i/>
          <w:color w:val="7F7F7F" w:themeColor="text1" w:themeTint="80"/>
          <w:sz w:val="18"/>
          <w:szCs w:val="18"/>
        </w:rPr>
      </w:pPr>
      <w:r>
        <w:rPr>
          <w:rFonts w:ascii="Sylfaen" w:hAnsi="Sylfaen"/>
          <w:b/>
          <w:i/>
          <w:noProof/>
          <w:color w:val="000000"/>
          <w:sz w:val="18"/>
          <w:szCs w:val="18"/>
        </w:rPr>
        <w:br w:type="textWrapping" w:clear="all"/>
      </w:r>
      <w:r w:rsidR="00AD59D0" w:rsidRPr="00B73E97">
        <w:rPr>
          <w:rFonts w:ascii="Sylfaen" w:hAnsi="Sylfaen"/>
          <w:b/>
          <w:i/>
          <w:noProof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</w:t>
      </w:r>
    </w:p>
    <w:p w:rsidR="0053506B" w:rsidRPr="00B73E97" w:rsidRDefault="0053506B" w:rsidP="00484C3A">
      <w:pPr>
        <w:spacing w:after="0" w:line="240" w:lineRule="auto"/>
        <w:rPr>
          <w:rFonts w:ascii="Sylfaen" w:hAnsi="Sylfaen" w:cs="Sylfaen"/>
          <w:color w:val="FF0000"/>
          <w:sz w:val="18"/>
        </w:rPr>
      </w:pPr>
    </w:p>
    <w:sectPr w:rsidR="0053506B" w:rsidRPr="00B73E97" w:rsidSect="00F663AC">
      <w:footerReference w:type="default" r:id="rId11"/>
      <w:footerReference w:type="first" r:id="rId12"/>
      <w:pgSz w:w="11907" w:h="16839" w:code="9"/>
      <w:pgMar w:top="426" w:right="1134" w:bottom="1134" w:left="720" w:header="720" w:footer="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323B" w:rsidRDefault="003E323B" w:rsidP="00400BED">
      <w:pPr>
        <w:spacing w:after="0" w:line="240" w:lineRule="auto"/>
      </w:pPr>
      <w:r>
        <w:separator/>
      </w:r>
    </w:p>
  </w:endnote>
  <w:endnote w:type="continuationSeparator" w:id="0">
    <w:p w:rsidR="003E323B" w:rsidRDefault="003E323B" w:rsidP="00400B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LitNusx">
    <w:altName w:val="Calibri"/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707747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63AC" w:rsidRDefault="00F663A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F663AC" w:rsidRDefault="00F663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078973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0CA0" w:rsidRDefault="00C50CA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663A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50CA0" w:rsidRDefault="00C50CA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323B" w:rsidRDefault="003E323B" w:rsidP="00400BED">
      <w:pPr>
        <w:spacing w:after="0" w:line="240" w:lineRule="auto"/>
      </w:pPr>
      <w:r>
        <w:separator/>
      </w:r>
    </w:p>
  </w:footnote>
  <w:footnote w:type="continuationSeparator" w:id="0">
    <w:p w:rsidR="003E323B" w:rsidRDefault="003E323B" w:rsidP="00400B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906A7"/>
    <w:multiLevelType w:val="hybridMultilevel"/>
    <w:tmpl w:val="E0907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E683B80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07482"/>
    <w:multiLevelType w:val="hybridMultilevel"/>
    <w:tmpl w:val="CC12667E"/>
    <w:lvl w:ilvl="0" w:tplc="4E683B80">
      <w:start w:val="1"/>
      <w:numFmt w:val="bullet"/>
      <w:lvlText w:val="-"/>
      <w:lvlJc w:val="left"/>
      <w:pPr>
        <w:ind w:left="19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2" w15:restartNumberingAfterBreak="0">
    <w:nsid w:val="13875CC3"/>
    <w:multiLevelType w:val="hybridMultilevel"/>
    <w:tmpl w:val="C8D66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4C57C7"/>
    <w:multiLevelType w:val="hybridMultilevel"/>
    <w:tmpl w:val="52D63BC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DA955A3"/>
    <w:multiLevelType w:val="hybridMultilevel"/>
    <w:tmpl w:val="242C0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DF276E"/>
    <w:multiLevelType w:val="hybridMultilevel"/>
    <w:tmpl w:val="A84032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33694"/>
    <w:multiLevelType w:val="hybridMultilevel"/>
    <w:tmpl w:val="36CCA540"/>
    <w:lvl w:ilvl="0" w:tplc="4E683B8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E105F0"/>
    <w:multiLevelType w:val="hybridMultilevel"/>
    <w:tmpl w:val="FD3A3A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F45785"/>
    <w:multiLevelType w:val="hybridMultilevel"/>
    <w:tmpl w:val="B86EFDCA"/>
    <w:lvl w:ilvl="0" w:tplc="39C46994">
      <w:numFmt w:val="bullet"/>
      <w:lvlText w:val=""/>
      <w:lvlJc w:val="left"/>
      <w:pPr>
        <w:ind w:left="1440" w:hanging="360"/>
      </w:pPr>
      <w:rPr>
        <w:rFonts w:ascii="Symbol" w:eastAsiaTheme="minorHAnsi" w:hAnsi="Symbol" w:cs="Sylfae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77C4237"/>
    <w:multiLevelType w:val="hybridMultilevel"/>
    <w:tmpl w:val="0664A0CE"/>
    <w:lvl w:ilvl="0" w:tplc="17EACFDE">
      <w:start w:val="201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E2635D"/>
    <w:multiLevelType w:val="hybridMultilevel"/>
    <w:tmpl w:val="79FC4980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1" w15:restartNumberingAfterBreak="0">
    <w:nsid w:val="726963E1"/>
    <w:multiLevelType w:val="hybridMultilevel"/>
    <w:tmpl w:val="D4B25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B8505A"/>
    <w:multiLevelType w:val="hybridMultilevel"/>
    <w:tmpl w:val="C640421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8B03C67"/>
    <w:multiLevelType w:val="hybridMultilevel"/>
    <w:tmpl w:val="FFD05AAC"/>
    <w:lvl w:ilvl="0" w:tplc="04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14" w15:restartNumberingAfterBreak="0">
    <w:nsid w:val="7D296A6E"/>
    <w:multiLevelType w:val="hybridMultilevel"/>
    <w:tmpl w:val="A7CA7D0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0"/>
  </w:num>
  <w:num w:numId="3">
    <w:abstractNumId w:val="5"/>
  </w:num>
  <w:num w:numId="4">
    <w:abstractNumId w:val="7"/>
  </w:num>
  <w:num w:numId="5">
    <w:abstractNumId w:val="0"/>
  </w:num>
  <w:num w:numId="6">
    <w:abstractNumId w:val="2"/>
  </w:num>
  <w:num w:numId="7">
    <w:abstractNumId w:val="11"/>
  </w:num>
  <w:num w:numId="8">
    <w:abstractNumId w:val="1"/>
  </w:num>
  <w:num w:numId="9">
    <w:abstractNumId w:val="4"/>
  </w:num>
  <w:num w:numId="10">
    <w:abstractNumId w:val="6"/>
  </w:num>
  <w:num w:numId="11">
    <w:abstractNumId w:val="8"/>
  </w:num>
  <w:num w:numId="12">
    <w:abstractNumId w:val="9"/>
  </w:num>
  <w:num w:numId="13">
    <w:abstractNumId w:val="14"/>
  </w:num>
  <w:num w:numId="14">
    <w:abstractNumId w:val="3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4F5"/>
    <w:rsid w:val="00001E43"/>
    <w:rsid w:val="00012780"/>
    <w:rsid w:val="00012CCB"/>
    <w:rsid w:val="00012E03"/>
    <w:rsid w:val="00013763"/>
    <w:rsid w:val="00013D97"/>
    <w:rsid w:val="0001411B"/>
    <w:rsid w:val="00015303"/>
    <w:rsid w:val="000156E3"/>
    <w:rsid w:val="000162A1"/>
    <w:rsid w:val="00017DE3"/>
    <w:rsid w:val="00027288"/>
    <w:rsid w:val="0002796C"/>
    <w:rsid w:val="00030A9F"/>
    <w:rsid w:val="00030CF6"/>
    <w:rsid w:val="00032625"/>
    <w:rsid w:val="000340AB"/>
    <w:rsid w:val="0003606D"/>
    <w:rsid w:val="000369D7"/>
    <w:rsid w:val="00036CFD"/>
    <w:rsid w:val="00037587"/>
    <w:rsid w:val="00037DB7"/>
    <w:rsid w:val="00040C4B"/>
    <w:rsid w:val="00041224"/>
    <w:rsid w:val="000413CE"/>
    <w:rsid w:val="00041D5B"/>
    <w:rsid w:val="00044F01"/>
    <w:rsid w:val="000458CE"/>
    <w:rsid w:val="00050EF1"/>
    <w:rsid w:val="0005462B"/>
    <w:rsid w:val="00054AB0"/>
    <w:rsid w:val="00057593"/>
    <w:rsid w:val="00063126"/>
    <w:rsid w:val="00064717"/>
    <w:rsid w:val="00065901"/>
    <w:rsid w:val="00065AD3"/>
    <w:rsid w:val="0006735B"/>
    <w:rsid w:val="0007088A"/>
    <w:rsid w:val="0007188A"/>
    <w:rsid w:val="00071A46"/>
    <w:rsid w:val="00071A4F"/>
    <w:rsid w:val="00071D1D"/>
    <w:rsid w:val="00071DD7"/>
    <w:rsid w:val="00073EEF"/>
    <w:rsid w:val="0007413E"/>
    <w:rsid w:val="00074A14"/>
    <w:rsid w:val="0007519C"/>
    <w:rsid w:val="000771C9"/>
    <w:rsid w:val="00080A73"/>
    <w:rsid w:val="0008119F"/>
    <w:rsid w:val="00081DE3"/>
    <w:rsid w:val="000858BE"/>
    <w:rsid w:val="00086A00"/>
    <w:rsid w:val="00091646"/>
    <w:rsid w:val="000957B3"/>
    <w:rsid w:val="00095B71"/>
    <w:rsid w:val="00096855"/>
    <w:rsid w:val="000969CB"/>
    <w:rsid w:val="00096CC2"/>
    <w:rsid w:val="000973FB"/>
    <w:rsid w:val="000A05E4"/>
    <w:rsid w:val="000A1240"/>
    <w:rsid w:val="000A29EB"/>
    <w:rsid w:val="000A4467"/>
    <w:rsid w:val="000A5F64"/>
    <w:rsid w:val="000A7B97"/>
    <w:rsid w:val="000B16F8"/>
    <w:rsid w:val="000B2189"/>
    <w:rsid w:val="000B567A"/>
    <w:rsid w:val="000B6954"/>
    <w:rsid w:val="000B6CAA"/>
    <w:rsid w:val="000C139F"/>
    <w:rsid w:val="000C3566"/>
    <w:rsid w:val="000C4A44"/>
    <w:rsid w:val="000C57D0"/>
    <w:rsid w:val="000C63C9"/>
    <w:rsid w:val="000D046A"/>
    <w:rsid w:val="000D159E"/>
    <w:rsid w:val="000D1A17"/>
    <w:rsid w:val="000D4052"/>
    <w:rsid w:val="000D4D25"/>
    <w:rsid w:val="000D7D26"/>
    <w:rsid w:val="000E0438"/>
    <w:rsid w:val="000E1BBD"/>
    <w:rsid w:val="000E2E32"/>
    <w:rsid w:val="000E4DAD"/>
    <w:rsid w:val="000E5F6B"/>
    <w:rsid w:val="000E7432"/>
    <w:rsid w:val="000E7E49"/>
    <w:rsid w:val="000F00E4"/>
    <w:rsid w:val="000F13F4"/>
    <w:rsid w:val="000F487B"/>
    <w:rsid w:val="000F55BB"/>
    <w:rsid w:val="000F5720"/>
    <w:rsid w:val="000F7FD3"/>
    <w:rsid w:val="00102D0F"/>
    <w:rsid w:val="00103D04"/>
    <w:rsid w:val="001055DA"/>
    <w:rsid w:val="00107030"/>
    <w:rsid w:val="00110A1B"/>
    <w:rsid w:val="00121AE2"/>
    <w:rsid w:val="00123D22"/>
    <w:rsid w:val="00124299"/>
    <w:rsid w:val="001261C7"/>
    <w:rsid w:val="00126E5C"/>
    <w:rsid w:val="0013125A"/>
    <w:rsid w:val="001318E0"/>
    <w:rsid w:val="0013347B"/>
    <w:rsid w:val="00137A54"/>
    <w:rsid w:val="00137ED5"/>
    <w:rsid w:val="0014025D"/>
    <w:rsid w:val="00140A25"/>
    <w:rsid w:val="00140A2F"/>
    <w:rsid w:val="00144098"/>
    <w:rsid w:val="001441DC"/>
    <w:rsid w:val="00145367"/>
    <w:rsid w:val="0014548C"/>
    <w:rsid w:val="00151C5B"/>
    <w:rsid w:val="00153061"/>
    <w:rsid w:val="001536D0"/>
    <w:rsid w:val="00154312"/>
    <w:rsid w:val="00157433"/>
    <w:rsid w:val="00160413"/>
    <w:rsid w:val="00162FC7"/>
    <w:rsid w:val="00164B20"/>
    <w:rsid w:val="0016733A"/>
    <w:rsid w:val="001673DC"/>
    <w:rsid w:val="00173BAA"/>
    <w:rsid w:val="001757D3"/>
    <w:rsid w:val="001763B0"/>
    <w:rsid w:val="00180F87"/>
    <w:rsid w:val="00181ECC"/>
    <w:rsid w:val="00182832"/>
    <w:rsid w:val="00182E93"/>
    <w:rsid w:val="00187C1C"/>
    <w:rsid w:val="00190A72"/>
    <w:rsid w:val="00192C0F"/>
    <w:rsid w:val="00193364"/>
    <w:rsid w:val="00193C76"/>
    <w:rsid w:val="00197E9D"/>
    <w:rsid w:val="001A2AFB"/>
    <w:rsid w:val="001A3600"/>
    <w:rsid w:val="001A397F"/>
    <w:rsid w:val="001A410C"/>
    <w:rsid w:val="001A4349"/>
    <w:rsid w:val="001B17E2"/>
    <w:rsid w:val="001B2633"/>
    <w:rsid w:val="001B4547"/>
    <w:rsid w:val="001B508D"/>
    <w:rsid w:val="001B5DAC"/>
    <w:rsid w:val="001C5235"/>
    <w:rsid w:val="001C5F44"/>
    <w:rsid w:val="001D0A60"/>
    <w:rsid w:val="001D17B2"/>
    <w:rsid w:val="001D5195"/>
    <w:rsid w:val="001D5ADC"/>
    <w:rsid w:val="001D65B8"/>
    <w:rsid w:val="001D6905"/>
    <w:rsid w:val="001D7AFC"/>
    <w:rsid w:val="001E039B"/>
    <w:rsid w:val="001E1573"/>
    <w:rsid w:val="001E272E"/>
    <w:rsid w:val="001E2DD2"/>
    <w:rsid w:val="001E53A0"/>
    <w:rsid w:val="001E61BA"/>
    <w:rsid w:val="001E62A2"/>
    <w:rsid w:val="001E6933"/>
    <w:rsid w:val="001E6B6E"/>
    <w:rsid w:val="001F1323"/>
    <w:rsid w:val="001F36D9"/>
    <w:rsid w:val="001F3BCB"/>
    <w:rsid w:val="00200F18"/>
    <w:rsid w:val="00203E0A"/>
    <w:rsid w:val="0020475E"/>
    <w:rsid w:val="00206BEB"/>
    <w:rsid w:val="00210947"/>
    <w:rsid w:val="00215653"/>
    <w:rsid w:val="0022130D"/>
    <w:rsid w:val="00225341"/>
    <w:rsid w:val="00233B5E"/>
    <w:rsid w:val="0023438F"/>
    <w:rsid w:val="00236007"/>
    <w:rsid w:val="0024105B"/>
    <w:rsid w:val="0024488E"/>
    <w:rsid w:val="00247C11"/>
    <w:rsid w:val="0025039F"/>
    <w:rsid w:val="00255F02"/>
    <w:rsid w:val="00256FDD"/>
    <w:rsid w:val="00262BF3"/>
    <w:rsid w:val="00263EAD"/>
    <w:rsid w:val="00267926"/>
    <w:rsid w:val="00270120"/>
    <w:rsid w:val="00270C72"/>
    <w:rsid w:val="002758CB"/>
    <w:rsid w:val="0028042E"/>
    <w:rsid w:val="0028088E"/>
    <w:rsid w:val="00280C50"/>
    <w:rsid w:val="00280FA2"/>
    <w:rsid w:val="00281A88"/>
    <w:rsid w:val="0028678E"/>
    <w:rsid w:val="0028789D"/>
    <w:rsid w:val="00291229"/>
    <w:rsid w:val="00291724"/>
    <w:rsid w:val="0029176A"/>
    <w:rsid w:val="00293858"/>
    <w:rsid w:val="0029394E"/>
    <w:rsid w:val="00294224"/>
    <w:rsid w:val="002A01C6"/>
    <w:rsid w:val="002A0BB1"/>
    <w:rsid w:val="002A2174"/>
    <w:rsid w:val="002A3C73"/>
    <w:rsid w:val="002A4263"/>
    <w:rsid w:val="002B1561"/>
    <w:rsid w:val="002B1FB3"/>
    <w:rsid w:val="002B3E23"/>
    <w:rsid w:val="002B47AA"/>
    <w:rsid w:val="002B61B5"/>
    <w:rsid w:val="002B61EC"/>
    <w:rsid w:val="002B6702"/>
    <w:rsid w:val="002B6DAE"/>
    <w:rsid w:val="002B6F15"/>
    <w:rsid w:val="002B72FA"/>
    <w:rsid w:val="002B7EE6"/>
    <w:rsid w:val="002C2F60"/>
    <w:rsid w:val="002C41C2"/>
    <w:rsid w:val="002C7782"/>
    <w:rsid w:val="002C784F"/>
    <w:rsid w:val="002D0A51"/>
    <w:rsid w:val="002D15C8"/>
    <w:rsid w:val="002D16E4"/>
    <w:rsid w:val="002D22B9"/>
    <w:rsid w:val="002D596E"/>
    <w:rsid w:val="002D6813"/>
    <w:rsid w:val="002E358C"/>
    <w:rsid w:val="002E3E75"/>
    <w:rsid w:val="002F0B9C"/>
    <w:rsid w:val="002F292C"/>
    <w:rsid w:val="002F4A36"/>
    <w:rsid w:val="002F5FB0"/>
    <w:rsid w:val="002F7144"/>
    <w:rsid w:val="00300306"/>
    <w:rsid w:val="003028B4"/>
    <w:rsid w:val="00304455"/>
    <w:rsid w:val="00307471"/>
    <w:rsid w:val="00310E6E"/>
    <w:rsid w:val="00311508"/>
    <w:rsid w:val="00311D8A"/>
    <w:rsid w:val="00313468"/>
    <w:rsid w:val="003150E3"/>
    <w:rsid w:val="003166CD"/>
    <w:rsid w:val="00317C22"/>
    <w:rsid w:val="00322857"/>
    <w:rsid w:val="0032483D"/>
    <w:rsid w:val="00325994"/>
    <w:rsid w:val="0032795B"/>
    <w:rsid w:val="003303AF"/>
    <w:rsid w:val="0033211A"/>
    <w:rsid w:val="00332B60"/>
    <w:rsid w:val="003351F0"/>
    <w:rsid w:val="003419E6"/>
    <w:rsid w:val="003425D6"/>
    <w:rsid w:val="003430DD"/>
    <w:rsid w:val="00347FB5"/>
    <w:rsid w:val="00352E0D"/>
    <w:rsid w:val="003532BD"/>
    <w:rsid w:val="0035676A"/>
    <w:rsid w:val="00361883"/>
    <w:rsid w:val="00364196"/>
    <w:rsid w:val="0036419C"/>
    <w:rsid w:val="00365A49"/>
    <w:rsid w:val="00372A1B"/>
    <w:rsid w:val="00375F6E"/>
    <w:rsid w:val="00377B9F"/>
    <w:rsid w:val="003800EA"/>
    <w:rsid w:val="00382167"/>
    <w:rsid w:val="003838EC"/>
    <w:rsid w:val="00387352"/>
    <w:rsid w:val="0039166F"/>
    <w:rsid w:val="00395CE1"/>
    <w:rsid w:val="003967C1"/>
    <w:rsid w:val="00396821"/>
    <w:rsid w:val="003A07F4"/>
    <w:rsid w:val="003A0E81"/>
    <w:rsid w:val="003A343D"/>
    <w:rsid w:val="003A4A93"/>
    <w:rsid w:val="003B0642"/>
    <w:rsid w:val="003B1490"/>
    <w:rsid w:val="003B159D"/>
    <w:rsid w:val="003B15C3"/>
    <w:rsid w:val="003B22D1"/>
    <w:rsid w:val="003B2C8F"/>
    <w:rsid w:val="003B4834"/>
    <w:rsid w:val="003B5B47"/>
    <w:rsid w:val="003B68A7"/>
    <w:rsid w:val="003B775B"/>
    <w:rsid w:val="003C2AE8"/>
    <w:rsid w:val="003C2FBC"/>
    <w:rsid w:val="003C3825"/>
    <w:rsid w:val="003C5914"/>
    <w:rsid w:val="003C60E3"/>
    <w:rsid w:val="003C633D"/>
    <w:rsid w:val="003D0F28"/>
    <w:rsid w:val="003D158A"/>
    <w:rsid w:val="003D2689"/>
    <w:rsid w:val="003D5A3B"/>
    <w:rsid w:val="003D62DD"/>
    <w:rsid w:val="003D6E27"/>
    <w:rsid w:val="003E2AE8"/>
    <w:rsid w:val="003E2E05"/>
    <w:rsid w:val="003E2FDF"/>
    <w:rsid w:val="003E323B"/>
    <w:rsid w:val="003E43A7"/>
    <w:rsid w:val="003E5A7C"/>
    <w:rsid w:val="003F0548"/>
    <w:rsid w:val="003F0E4D"/>
    <w:rsid w:val="003F208F"/>
    <w:rsid w:val="003F27BF"/>
    <w:rsid w:val="003F2860"/>
    <w:rsid w:val="003F3483"/>
    <w:rsid w:val="003F36B5"/>
    <w:rsid w:val="003F5CEB"/>
    <w:rsid w:val="003F6F77"/>
    <w:rsid w:val="003F711D"/>
    <w:rsid w:val="003F75A7"/>
    <w:rsid w:val="00400BED"/>
    <w:rsid w:val="004033E5"/>
    <w:rsid w:val="00405A47"/>
    <w:rsid w:val="0040622C"/>
    <w:rsid w:val="0040699D"/>
    <w:rsid w:val="00406FEE"/>
    <w:rsid w:val="00410C40"/>
    <w:rsid w:val="004117C8"/>
    <w:rsid w:val="004150CD"/>
    <w:rsid w:val="00416472"/>
    <w:rsid w:val="00421440"/>
    <w:rsid w:val="00421638"/>
    <w:rsid w:val="00424397"/>
    <w:rsid w:val="00425B8C"/>
    <w:rsid w:val="00425E7D"/>
    <w:rsid w:val="00426244"/>
    <w:rsid w:val="00427DC2"/>
    <w:rsid w:val="004324BD"/>
    <w:rsid w:val="00434625"/>
    <w:rsid w:val="00435096"/>
    <w:rsid w:val="00441218"/>
    <w:rsid w:val="0044178B"/>
    <w:rsid w:val="004439FD"/>
    <w:rsid w:val="00445CA6"/>
    <w:rsid w:val="004464CC"/>
    <w:rsid w:val="004572FA"/>
    <w:rsid w:val="004611B5"/>
    <w:rsid w:val="00462A0C"/>
    <w:rsid w:val="00466050"/>
    <w:rsid w:val="00466B57"/>
    <w:rsid w:val="00470E61"/>
    <w:rsid w:val="00471D7F"/>
    <w:rsid w:val="00480DC3"/>
    <w:rsid w:val="004816BC"/>
    <w:rsid w:val="004835AB"/>
    <w:rsid w:val="00483895"/>
    <w:rsid w:val="00484C3A"/>
    <w:rsid w:val="004850D5"/>
    <w:rsid w:val="00485FD9"/>
    <w:rsid w:val="00490B44"/>
    <w:rsid w:val="00493136"/>
    <w:rsid w:val="00496409"/>
    <w:rsid w:val="00497DE1"/>
    <w:rsid w:val="004A231E"/>
    <w:rsid w:val="004A3196"/>
    <w:rsid w:val="004A3DB0"/>
    <w:rsid w:val="004B0D09"/>
    <w:rsid w:val="004B1263"/>
    <w:rsid w:val="004B29BC"/>
    <w:rsid w:val="004B46E8"/>
    <w:rsid w:val="004B7573"/>
    <w:rsid w:val="004C0704"/>
    <w:rsid w:val="004C59A6"/>
    <w:rsid w:val="004D17A6"/>
    <w:rsid w:val="004D26F9"/>
    <w:rsid w:val="004D7B47"/>
    <w:rsid w:val="004E2497"/>
    <w:rsid w:val="004E3AB1"/>
    <w:rsid w:val="004E422E"/>
    <w:rsid w:val="004F2321"/>
    <w:rsid w:val="004F2417"/>
    <w:rsid w:val="004F5AB2"/>
    <w:rsid w:val="0050185A"/>
    <w:rsid w:val="00501E22"/>
    <w:rsid w:val="00510802"/>
    <w:rsid w:val="005131CE"/>
    <w:rsid w:val="00515451"/>
    <w:rsid w:val="005165EB"/>
    <w:rsid w:val="005233E0"/>
    <w:rsid w:val="00523560"/>
    <w:rsid w:val="00527AC4"/>
    <w:rsid w:val="0053140C"/>
    <w:rsid w:val="0053399C"/>
    <w:rsid w:val="00534D33"/>
    <w:rsid w:val="0053506B"/>
    <w:rsid w:val="005370EC"/>
    <w:rsid w:val="005406F9"/>
    <w:rsid w:val="0054275A"/>
    <w:rsid w:val="00543222"/>
    <w:rsid w:val="00544450"/>
    <w:rsid w:val="00547406"/>
    <w:rsid w:val="005532C7"/>
    <w:rsid w:val="0055381D"/>
    <w:rsid w:val="0055654D"/>
    <w:rsid w:val="0056160F"/>
    <w:rsid w:val="00562F98"/>
    <w:rsid w:val="00564957"/>
    <w:rsid w:val="00564C7D"/>
    <w:rsid w:val="00567ACE"/>
    <w:rsid w:val="00570728"/>
    <w:rsid w:val="00570A55"/>
    <w:rsid w:val="00570C98"/>
    <w:rsid w:val="00572781"/>
    <w:rsid w:val="00572A14"/>
    <w:rsid w:val="0057502A"/>
    <w:rsid w:val="00576720"/>
    <w:rsid w:val="005773E3"/>
    <w:rsid w:val="00581B0F"/>
    <w:rsid w:val="005830B0"/>
    <w:rsid w:val="0058312E"/>
    <w:rsid w:val="005851C8"/>
    <w:rsid w:val="0058522A"/>
    <w:rsid w:val="005870D9"/>
    <w:rsid w:val="00590695"/>
    <w:rsid w:val="00591512"/>
    <w:rsid w:val="00594033"/>
    <w:rsid w:val="00595CEE"/>
    <w:rsid w:val="00596075"/>
    <w:rsid w:val="005A44F5"/>
    <w:rsid w:val="005A5523"/>
    <w:rsid w:val="005B3272"/>
    <w:rsid w:val="005B3C35"/>
    <w:rsid w:val="005B498D"/>
    <w:rsid w:val="005B505D"/>
    <w:rsid w:val="005B5D38"/>
    <w:rsid w:val="005C0056"/>
    <w:rsid w:val="005C212A"/>
    <w:rsid w:val="005C33E2"/>
    <w:rsid w:val="005C3BE1"/>
    <w:rsid w:val="005C46D1"/>
    <w:rsid w:val="005D248B"/>
    <w:rsid w:val="005D41B7"/>
    <w:rsid w:val="005E0A52"/>
    <w:rsid w:val="005E1257"/>
    <w:rsid w:val="005E2930"/>
    <w:rsid w:val="005E581F"/>
    <w:rsid w:val="005E5E26"/>
    <w:rsid w:val="005E63ED"/>
    <w:rsid w:val="005E7CA8"/>
    <w:rsid w:val="005F36E9"/>
    <w:rsid w:val="005F6B8A"/>
    <w:rsid w:val="00600923"/>
    <w:rsid w:val="00603BE0"/>
    <w:rsid w:val="006042C4"/>
    <w:rsid w:val="0061180A"/>
    <w:rsid w:val="00615CCA"/>
    <w:rsid w:val="006168BD"/>
    <w:rsid w:val="006202AE"/>
    <w:rsid w:val="006204B4"/>
    <w:rsid w:val="00621E8E"/>
    <w:rsid w:val="0062322C"/>
    <w:rsid w:val="00623F0F"/>
    <w:rsid w:val="00626122"/>
    <w:rsid w:val="006268F4"/>
    <w:rsid w:val="00631A9A"/>
    <w:rsid w:val="0063481F"/>
    <w:rsid w:val="0064753E"/>
    <w:rsid w:val="006500C4"/>
    <w:rsid w:val="00651040"/>
    <w:rsid w:val="0065336E"/>
    <w:rsid w:val="006546E7"/>
    <w:rsid w:val="006578EC"/>
    <w:rsid w:val="00657A6F"/>
    <w:rsid w:val="00661B66"/>
    <w:rsid w:val="00663921"/>
    <w:rsid w:val="006663B1"/>
    <w:rsid w:val="00667DDB"/>
    <w:rsid w:val="006719E4"/>
    <w:rsid w:val="00673822"/>
    <w:rsid w:val="006776FE"/>
    <w:rsid w:val="0068034E"/>
    <w:rsid w:val="00682559"/>
    <w:rsid w:val="00682DC8"/>
    <w:rsid w:val="006830DB"/>
    <w:rsid w:val="00684B33"/>
    <w:rsid w:val="006859B7"/>
    <w:rsid w:val="00686D87"/>
    <w:rsid w:val="0068719D"/>
    <w:rsid w:val="00691181"/>
    <w:rsid w:val="00692B62"/>
    <w:rsid w:val="00693321"/>
    <w:rsid w:val="00693542"/>
    <w:rsid w:val="00694AB3"/>
    <w:rsid w:val="00694EFF"/>
    <w:rsid w:val="0069693A"/>
    <w:rsid w:val="00696AF7"/>
    <w:rsid w:val="006A0EC7"/>
    <w:rsid w:val="006A1932"/>
    <w:rsid w:val="006A1E01"/>
    <w:rsid w:val="006A3476"/>
    <w:rsid w:val="006A41DE"/>
    <w:rsid w:val="006A47A2"/>
    <w:rsid w:val="006A7D49"/>
    <w:rsid w:val="006B1B1E"/>
    <w:rsid w:val="006B398B"/>
    <w:rsid w:val="006B3FC1"/>
    <w:rsid w:val="006C2FB0"/>
    <w:rsid w:val="006C4EE2"/>
    <w:rsid w:val="006C62DA"/>
    <w:rsid w:val="006C6499"/>
    <w:rsid w:val="006C77A4"/>
    <w:rsid w:val="006D20E2"/>
    <w:rsid w:val="006D2512"/>
    <w:rsid w:val="006D3126"/>
    <w:rsid w:val="006D5D4C"/>
    <w:rsid w:val="006D6E25"/>
    <w:rsid w:val="006D734B"/>
    <w:rsid w:val="006E02C4"/>
    <w:rsid w:val="006E1782"/>
    <w:rsid w:val="006E4EF9"/>
    <w:rsid w:val="006F1443"/>
    <w:rsid w:val="006F1A93"/>
    <w:rsid w:val="006F2BB7"/>
    <w:rsid w:val="006F334D"/>
    <w:rsid w:val="006F34C1"/>
    <w:rsid w:val="006F4151"/>
    <w:rsid w:val="006F4202"/>
    <w:rsid w:val="006F461C"/>
    <w:rsid w:val="006F4803"/>
    <w:rsid w:val="006F576F"/>
    <w:rsid w:val="006F5BEB"/>
    <w:rsid w:val="006F6D3E"/>
    <w:rsid w:val="00700C95"/>
    <w:rsid w:val="007039CE"/>
    <w:rsid w:val="00705B9D"/>
    <w:rsid w:val="0070689E"/>
    <w:rsid w:val="00706CC5"/>
    <w:rsid w:val="00707FAF"/>
    <w:rsid w:val="007121D3"/>
    <w:rsid w:val="00712989"/>
    <w:rsid w:val="0071317C"/>
    <w:rsid w:val="00713B95"/>
    <w:rsid w:val="00716043"/>
    <w:rsid w:val="00716759"/>
    <w:rsid w:val="00722371"/>
    <w:rsid w:val="0072498D"/>
    <w:rsid w:val="0072570D"/>
    <w:rsid w:val="0072749E"/>
    <w:rsid w:val="00727D30"/>
    <w:rsid w:val="007350CD"/>
    <w:rsid w:val="0073687D"/>
    <w:rsid w:val="00737314"/>
    <w:rsid w:val="007449DE"/>
    <w:rsid w:val="00746294"/>
    <w:rsid w:val="007464DB"/>
    <w:rsid w:val="00746651"/>
    <w:rsid w:val="00750BCA"/>
    <w:rsid w:val="0075480C"/>
    <w:rsid w:val="00754C45"/>
    <w:rsid w:val="007638B2"/>
    <w:rsid w:val="00764192"/>
    <w:rsid w:val="007643C1"/>
    <w:rsid w:val="00771909"/>
    <w:rsid w:val="007720D8"/>
    <w:rsid w:val="00780B7F"/>
    <w:rsid w:val="00784855"/>
    <w:rsid w:val="0078542F"/>
    <w:rsid w:val="00787C46"/>
    <w:rsid w:val="00790043"/>
    <w:rsid w:val="00792911"/>
    <w:rsid w:val="00793647"/>
    <w:rsid w:val="00797BDC"/>
    <w:rsid w:val="007A0D67"/>
    <w:rsid w:val="007A32FD"/>
    <w:rsid w:val="007A4F50"/>
    <w:rsid w:val="007A5E4F"/>
    <w:rsid w:val="007B4007"/>
    <w:rsid w:val="007B41B0"/>
    <w:rsid w:val="007B4FCC"/>
    <w:rsid w:val="007B50C9"/>
    <w:rsid w:val="007B5487"/>
    <w:rsid w:val="007B65D0"/>
    <w:rsid w:val="007B6928"/>
    <w:rsid w:val="007B6D1D"/>
    <w:rsid w:val="007C3960"/>
    <w:rsid w:val="007C56ED"/>
    <w:rsid w:val="007C7CC8"/>
    <w:rsid w:val="007D1B10"/>
    <w:rsid w:val="007D2DE1"/>
    <w:rsid w:val="007D4E77"/>
    <w:rsid w:val="007D725C"/>
    <w:rsid w:val="007D7881"/>
    <w:rsid w:val="007E2AD7"/>
    <w:rsid w:val="007E57A9"/>
    <w:rsid w:val="007E711B"/>
    <w:rsid w:val="007E716B"/>
    <w:rsid w:val="007F2E76"/>
    <w:rsid w:val="007F2F53"/>
    <w:rsid w:val="007F3733"/>
    <w:rsid w:val="007F71FD"/>
    <w:rsid w:val="0080110D"/>
    <w:rsid w:val="0080503E"/>
    <w:rsid w:val="00806DA4"/>
    <w:rsid w:val="00810F1A"/>
    <w:rsid w:val="00812C36"/>
    <w:rsid w:val="008153BB"/>
    <w:rsid w:val="00816EE6"/>
    <w:rsid w:val="00816F67"/>
    <w:rsid w:val="008170FC"/>
    <w:rsid w:val="00817C42"/>
    <w:rsid w:val="0082056D"/>
    <w:rsid w:val="00824283"/>
    <w:rsid w:val="00826C90"/>
    <w:rsid w:val="0083168F"/>
    <w:rsid w:val="0083184C"/>
    <w:rsid w:val="008330FC"/>
    <w:rsid w:val="008337D5"/>
    <w:rsid w:val="00836A37"/>
    <w:rsid w:val="00840241"/>
    <w:rsid w:val="008405A5"/>
    <w:rsid w:val="008416A6"/>
    <w:rsid w:val="00844711"/>
    <w:rsid w:val="00844751"/>
    <w:rsid w:val="00846099"/>
    <w:rsid w:val="0085157F"/>
    <w:rsid w:val="008546EC"/>
    <w:rsid w:val="008564DE"/>
    <w:rsid w:val="00861F1F"/>
    <w:rsid w:val="00862004"/>
    <w:rsid w:val="00864429"/>
    <w:rsid w:val="0086615D"/>
    <w:rsid w:val="00866340"/>
    <w:rsid w:val="00866C5D"/>
    <w:rsid w:val="00871B7C"/>
    <w:rsid w:val="008739E5"/>
    <w:rsid w:val="00873FD3"/>
    <w:rsid w:val="0087661E"/>
    <w:rsid w:val="00880F7C"/>
    <w:rsid w:val="00881898"/>
    <w:rsid w:val="0088487C"/>
    <w:rsid w:val="00885C87"/>
    <w:rsid w:val="00890F23"/>
    <w:rsid w:val="008931CF"/>
    <w:rsid w:val="00895BDF"/>
    <w:rsid w:val="0089646B"/>
    <w:rsid w:val="008A1447"/>
    <w:rsid w:val="008A1C29"/>
    <w:rsid w:val="008A296A"/>
    <w:rsid w:val="008A7DED"/>
    <w:rsid w:val="008B14CF"/>
    <w:rsid w:val="008B2C36"/>
    <w:rsid w:val="008B343B"/>
    <w:rsid w:val="008B589D"/>
    <w:rsid w:val="008B5C79"/>
    <w:rsid w:val="008B76C9"/>
    <w:rsid w:val="008C0A08"/>
    <w:rsid w:val="008C2A4C"/>
    <w:rsid w:val="008C387D"/>
    <w:rsid w:val="008C3F27"/>
    <w:rsid w:val="008C692E"/>
    <w:rsid w:val="008C75F5"/>
    <w:rsid w:val="008C7E2B"/>
    <w:rsid w:val="008D0387"/>
    <w:rsid w:val="008D1F2B"/>
    <w:rsid w:val="008D2251"/>
    <w:rsid w:val="008D3068"/>
    <w:rsid w:val="008D7651"/>
    <w:rsid w:val="008D7B2F"/>
    <w:rsid w:val="008E40B9"/>
    <w:rsid w:val="008E435A"/>
    <w:rsid w:val="008E772B"/>
    <w:rsid w:val="008F0B91"/>
    <w:rsid w:val="00903ED6"/>
    <w:rsid w:val="00905BCC"/>
    <w:rsid w:val="00907532"/>
    <w:rsid w:val="00913790"/>
    <w:rsid w:val="009139F2"/>
    <w:rsid w:val="00914D8C"/>
    <w:rsid w:val="0091662B"/>
    <w:rsid w:val="009274F9"/>
    <w:rsid w:val="00927EE7"/>
    <w:rsid w:val="009330E5"/>
    <w:rsid w:val="009333B0"/>
    <w:rsid w:val="009335FA"/>
    <w:rsid w:val="00934B83"/>
    <w:rsid w:val="00935B87"/>
    <w:rsid w:val="00935F0A"/>
    <w:rsid w:val="009363B9"/>
    <w:rsid w:val="009377BC"/>
    <w:rsid w:val="00941504"/>
    <w:rsid w:val="009453D8"/>
    <w:rsid w:val="00945C13"/>
    <w:rsid w:val="009515B0"/>
    <w:rsid w:val="009531BC"/>
    <w:rsid w:val="0096271C"/>
    <w:rsid w:val="00963628"/>
    <w:rsid w:val="0096590B"/>
    <w:rsid w:val="009660A9"/>
    <w:rsid w:val="0096735A"/>
    <w:rsid w:val="009734FB"/>
    <w:rsid w:val="00975967"/>
    <w:rsid w:val="0098115B"/>
    <w:rsid w:val="009816B7"/>
    <w:rsid w:val="00982850"/>
    <w:rsid w:val="00982E29"/>
    <w:rsid w:val="00986AAF"/>
    <w:rsid w:val="009917B8"/>
    <w:rsid w:val="00991B14"/>
    <w:rsid w:val="009925D7"/>
    <w:rsid w:val="00994CC0"/>
    <w:rsid w:val="00997661"/>
    <w:rsid w:val="009A1016"/>
    <w:rsid w:val="009A2872"/>
    <w:rsid w:val="009A5FAB"/>
    <w:rsid w:val="009A7187"/>
    <w:rsid w:val="009A78B3"/>
    <w:rsid w:val="009A7CFF"/>
    <w:rsid w:val="009B1B48"/>
    <w:rsid w:val="009B63F3"/>
    <w:rsid w:val="009B6F6F"/>
    <w:rsid w:val="009C1DED"/>
    <w:rsid w:val="009C3A0F"/>
    <w:rsid w:val="009C518D"/>
    <w:rsid w:val="009C6F6B"/>
    <w:rsid w:val="009C7461"/>
    <w:rsid w:val="009C7A0D"/>
    <w:rsid w:val="009D05FD"/>
    <w:rsid w:val="009D1D40"/>
    <w:rsid w:val="009D253F"/>
    <w:rsid w:val="009D383C"/>
    <w:rsid w:val="009D5407"/>
    <w:rsid w:val="009D575E"/>
    <w:rsid w:val="009D66CB"/>
    <w:rsid w:val="009D6EA9"/>
    <w:rsid w:val="009D72B5"/>
    <w:rsid w:val="009D72DB"/>
    <w:rsid w:val="009E10CF"/>
    <w:rsid w:val="009E227F"/>
    <w:rsid w:val="009E33C4"/>
    <w:rsid w:val="009E49DA"/>
    <w:rsid w:val="009E5F2B"/>
    <w:rsid w:val="009F177E"/>
    <w:rsid w:val="009F1D79"/>
    <w:rsid w:val="009F31FB"/>
    <w:rsid w:val="009F6AC0"/>
    <w:rsid w:val="009F7E90"/>
    <w:rsid w:val="00A04E5E"/>
    <w:rsid w:val="00A07391"/>
    <w:rsid w:val="00A1081B"/>
    <w:rsid w:val="00A12C85"/>
    <w:rsid w:val="00A13C99"/>
    <w:rsid w:val="00A145F4"/>
    <w:rsid w:val="00A2021C"/>
    <w:rsid w:val="00A2126C"/>
    <w:rsid w:val="00A24773"/>
    <w:rsid w:val="00A26B28"/>
    <w:rsid w:val="00A304CC"/>
    <w:rsid w:val="00A30759"/>
    <w:rsid w:val="00A32DCB"/>
    <w:rsid w:val="00A33B48"/>
    <w:rsid w:val="00A404B7"/>
    <w:rsid w:val="00A405DB"/>
    <w:rsid w:val="00A45EB8"/>
    <w:rsid w:val="00A473CD"/>
    <w:rsid w:val="00A50002"/>
    <w:rsid w:val="00A5293F"/>
    <w:rsid w:val="00A552F9"/>
    <w:rsid w:val="00A56E3B"/>
    <w:rsid w:val="00A57273"/>
    <w:rsid w:val="00A62747"/>
    <w:rsid w:val="00A6278E"/>
    <w:rsid w:val="00A63967"/>
    <w:rsid w:val="00A65964"/>
    <w:rsid w:val="00A67E3A"/>
    <w:rsid w:val="00A67F51"/>
    <w:rsid w:val="00A710EC"/>
    <w:rsid w:val="00A73AAA"/>
    <w:rsid w:val="00A74699"/>
    <w:rsid w:val="00A751B7"/>
    <w:rsid w:val="00A761DC"/>
    <w:rsid w:val="00A770D1"/>
    <w:rsid w:val="00A8306F"/>
    <w:rsid w:val="00A84E8C"/>
    <w:rsid w:val="00A84FE6"/>
    <w:rsid w:val="00A854D8"/>
    <w:rsid w:val="00A85818"/>
    <w:rsid w:val="00A87F14"/>
    <w:rsid w:val="00A90B92"/>
    <w:rsid w:val="00A90C44"/>
    <w:rsid w:val="00A91823"/>
    <w:rsid w:val="00A93CD1"/>
    <w:rsid w:val="00A95725"/>
    <w:rsid w:val="00AA1660"/>
    <w:rsid w:val="00AB099E"/>
    <w:rsid w:val="00AB0A72"/>
    <w:rsid w:val="00AB2633"/>
    <w:rsid w:val="00AB4534"/>
    <w:rsid w:val="00AB5A99"/>
    <w:rsid w:val="00AC1154"/>
    <w:rsid w:val="00AC1CC1"/>
    <w:rsid w:val="00AC21C9"/>
    <w:rsid w:val="00AC2209"/>
    <w:rsid w:val="00AC5A55"/>
    <w:rsid w:val="00AD0BC4"/>
    <w:rsid w:val="00AD2AF0"/>
    <w:rsid w:val="00AD2D43"/>
    <w:rsid w:val="00AD59D0"/>
    <w:rsid w:val="00AD5E57"/>
    <w:rsid w:val="00AD6A17"/>
    <w:rsid w:val="00AE3BBE"/>
    <w:rsid w:val="00AE55B0"/>
    <w:rsid w:val="00AF0662"/>
    <w:rsid w:val="00AF30B1"/>
    <w:rsid w:val="00AF5E40"/>
    <w:rsid w:val="00AF5FB1"/>
    <w:rsid w:val="00AF76B7"/>
    <w:rsid w:val="00AF7D69"/>
    <w:rsid w:val="00B02101"/>
    <w:rsid w:val="00B04108"/>
    <w:rsid w:val="00B04141"/>
    <w:rsid w:val="00B05903"/>
    <w:rsid w:val="00B06D70"/>
    <w:rsid w:val="00B07D01"/>
    <w:rsid w:val="00B118E0"/>
    <w:rsid w:val="00B12E23"/>
    <w:rsid w:val="00B13801"/>
    <w:rsid w:val="00B13F75"/>
    <w:rsid w:val="00B14B51"/>
    <w:rsid w:val="00B157CD"/>
    <w:rsid w:val="00B15E0F"/>
    <w:rsid w:val="00B17B37"/>
    <w:rsid w:val="00B20166"/>
    <w:rsid w:val="00B2218E"/>
    <w:rsid w:val="00B224DB"/>
    <w:rsid w:val="00B2284C"/>
    <w:rsid w:val="00B236F8"/>
    <w:rsid w:val="00B248CA"/>
    <w:rsid w:val="00B25EAA"/>
    <w:rsid w:val="00B30876"/>
    <w:rsid w:val="00B3130D"/>
    <w:rsid w:val="00B32432"/>
    <w:rsid w:val="00B34848"/>
    <w:rsid w:val="00B404A9"/>
    <w:rsid w:val="00B44456"/>
    <w:rsid w:val="00B4458A"/>
    <w:rsid w:val="00B44750"/>
    <w:rsid w:val="00B44900"/>
    <w:rsid w:val="00B4541C"/>
    <w:rsid w:val="00B460EB"/>
    <w:rsid w:val="00B502E6"/>
    <w:rsid w:val="00B5085B"/>
    <w:rsid w:val="00B55FD3"/>
    <w:rsid w:val="00B57E95"/>
    <w:rsid w:val="00B60154"/>
    <w:rsid w:val="00B61F3B"/>
    <w:rsid w:val="00B64D1D"/>
    <w:rsid w:val="00B64DB8"/>
    <w:rsid w:val="00B662F1"/>
    <w:rsid w:val="00B6654D"/>
    <w:rsid w:val="00B66DB3"/>
    <w:rsid w:val="00B67339"/>
    <w:rsid w:val="00B71865"/>
    <w:rsid w:val="00B72782"/>
    <w:rsid w:val="00B73877"/>
    <w:rsid w:val="00B73E97"/>
    <w:rsid w:val="00B741CD"/>
    <w:rsid w:val="00B7447C"/>
    <w:rsid w:val="00B7509F"/>
    <w:rsid w:val="00B76574"/>
    <w:rsid w:val="00B830F8"/>
    <w:rsid w:val="00B835CC"/>
    <w:rsid w:val="00B84C15"/>
    <w:rsid w:val="00B87708"/>
    <w:rsid w:val="00B93A56"/>
    <w:rsid w:val="00B94CDE"/>
    <w:rsid w:val="00B95192"/>
    <w:rsid w:val="00B95528"/>
    <w:rsid w:val="00BA297C"/>
    <w:rsid w:val="00BA6094"/>
    <w:rsid w:val="00BB0398"/>
    <w:rsid w:val="00BB2C5D"/>
    <w:rsid w:val="00BB4019"/>
    <w:rsid w:val="00BC132A"/>
    <w:rsid w:val="00BC168E"/>
    <w:rsid w:val="00BC505C"/>
    <w:rsid w:val="00BC5E24"/>
    <w:rsid w:val="00BC701E"/>
    <w:rsid w:val="00BC764D"/>
    <w:rsid w:val="00BC7F2B"/>
    <w:rsid w:val="00BD1D05"/>
    <w:rsid w:val="00BD1F4C"/>
    <w:rsid w:val="00BD3C50"/>
    <w:rsid w:val="00BD4E03"/>
    <w:rsid w:val="00BD7F9C"/>
    <w:rsid w:val="00BE093C"/>
    <w:rsid w:val="00BE14E0"/>
    <w:rsid w:val="00BE4984"/>
    <w:rsid w:val="00BE4EE0"/>
    <w:rsid w:val="00BE777E"/>
    <w:rsid w:val="00BF0EBD"/>
    <w:rsid w:val="00BF151B"/>
    <w:rsid w:val="00BF1937"/>
    <w:rsid w:val="00BF426D"/>
    <w:rsid w:val="00BF4EC7"/>
    <w:rsid w:val="00BF50A9"/>
    <w:rsid w:val="00BF5CF6"/>
    <w:rsid w:val="00C0179A"/>
    <w:rsid w:val="00C0434C"/>
    <w:rsid w:val="00C0485E"/>
    <w:rsid w:val="00C04FBA"/>
    <w:rsid w:val="00C11D79"/>
    <w:rsid w:val="00C126E1"/>
    <w:rsid w:val="00C13117"/>
    <w:rsid w:val="00C136E3"/>
    <w:rsid w:val="00C15531"/>
    <w:rsid w:val="00C159A8"/>
    <w:rsid w:val="00C17F88"/>
    <w:rsid w:val="00C2136E"/>
    <w:rsid w:val="00C21AE9"/>
    <w:rsid w:val="00C23646"/>
    <w:rsid w:val="00C240B6"/>
    <w:rsid w:val="00C31756"/>
    <w:rsid w:val="00C31F7F"/>
    <w:rsid w:val="00C32166"/>
    <w:rsid w:val="00C3279B"/>
    <w:rsid w:val="00C34061"/>
    <w:rsid w:val="00C3490A"/>
    <w:rsid w:val="00C35E79"/>
    <w:rsid w:val="00C367E2"/>
    <w:rsid w:val="00C36A3D"/>
    <w:rsid w:val="00C37E2F"/>
    <w:rsid w:val="00C40259"/>
    <w:rsid w:val="00C42DBB"/>
    <w:rsid w:val="00C44420"/>
    <w:rsid w:val="00C4579F"/>
    <w:rsid w:val="00C50CA0"/>
    <w:rsid w:val="00C52BA0"/>
    <w:rsid w:val="00C574C4"/>
    <w:rsid w:val="00C644C6"/>
    <w:rsid w:val="00C6464F"/>
    <w:rsid w:val="00C66081"/>
    <w:rsid w:val="00C6765C"/>
    <w:rsid w:val="00C676F1"/>
    <w:rsid w:val="00C70518"/>
    <w:rsid w:val="00C73F59"/>
    <w:rsid w:val="00C74F29"/>
    <w:rsid w:val="00C757E0"/>
    <w:rsid w:val="00C75813"/>
    <w:rsid w:val="00C75C56"/>
    <w:rsid w:val="00C765DD"/>
    <w:rsid w:val="00C76853"/>
    <w:rsid w:val="00C80BCF"/>
    <w:rsid w:val="00C81C7D"/>
    <w:rsid w:val="00C90CBA"/>
    <w:rsid w:val="00C91918"/>
    <w:rsid w:val="00C92D73"/>
    <w:rsid w:val="00C9602D"/>
    <w:rsid w:val="00C969C1"/>
    <w:rsid w:val="00C9708E"/>
    <w:rsid w:val="00C97893"/>
    <w:rsid w:val="00C97F98"/>
    <w:rsid w:val="00CA4A72"/>
    <w:rsid w:val="00CA65F9"/>
    <w:rsid w:val="00CA70A1"/>
    <w:rsid w:val="00CB0085"/>
    <w:rsid w:val="00CB1A96"/>
    <w:rsid w:val="00CB2BCD"/>
    <w:rsid w:val="00CB36D7"/>
    <w:rsid w:val="00CB3F5C"/>
    <w:rsid w:val="00CB57F7"/>
    <w:rsid w:val="00CB6749"/>
    <w:rsid w:val="00CC06E0"/>
    <w:rsid w:val="00CC1535"/>
    <w:rsid w:val="00CC46C4"/>
    <w:rsid w:val="00CC61C6"/>
    <w:rsid w:val="00CC6C0E"/>
    <w:rsid w:val="00CD1557"/>
    <w:rsid w:val="00CD2440"/>
    <w:rsid w:val="00CD352C"/>
    <w:rsid w:val="00CD3703"/>
    <w:rsid w:val="00CD6196"/>
    <w:rsid w:val="00CD7C57"/>
    <w:rsid w:val="00CE327F"/>
    <w:rsid w:val="00CE433A"/>
    <w:rsid w:val="00CE5649"/>
    <w:rsid w:val="00CF0DA5"/>
    <w:rsid w:val="00CF3A41"/>
    <w:rsid w:val="00D01070"/>
    <w:rsid w:val="00D02027"/>
    <w:rsid w:val="00D0479D"/>
    <w:rsid w:val="00D04E46"/>
    <w:rsid w:val="00D05114"/>
    <w:rsid w:val="00D05684"/>
    <w:rsid w:val="00D059C8"/>
    <w:rsid w:val="00D10101"/>
    <w:rsid w:val="00D1142C"/>
    <w:rsid w:val="00D12397"/>
    <w:rsid w:val="00D12E76"/>
    <w:rsid w:val="00D207EF"/>
    <w:rsid w:val="00D21BD3"/>
    <w:rsid w:val="00D229A9"/>
    <w:rsid w:val="00D2609D"/>
    <w:rsid w:val="00D261E7"/>
    <w:rsid w:val="00D26939"/>
    <w:rsid w:val="00D26C1A"/>
    <w:rsid w:val="00D31A08"/>
    <w:rsid w:val="00D32336"/>
    <w:rsid w:val="00D3238E"/>
    <w:rsid w:val="00D3267C"/>
    <w:rsid w:val="00D34895"/>
    <w:rsid w:val="00D41A8A"/>
    <w:rsid w:val="00D42125"/>
    <w:rsid w:val="00D46022"/>
    <w:rsid w:val="00D47CCE"/>
    <w:rsid w:val="00D539F2"/>
    <w:rsid w:val="00D53A3C"/>
    <w:rsid w:val="00D53D52"/>
    <w:rsid w:val="00D55D57"/>
    <w:rsid w:val="00D568BA"/>
    <w:rsid w:val="00D57A95"/>
    <w:rsid w:val="00D62208"/>
    <w:rsid w:val="00D628D5"/>
    <w:rsid w:val="00D62E87"/>
    <w:rsid w:val="00D63FD8"/>
    <w:rsid w:val="00D651F7"/>
    <w:rsid w:val="00D66DD7"/>
    <w:rsid w:val="00D677AE"/>
    <w:rsid w:val="00D713F6"/>
    <w:rsid w:val="00D729AB"/>
    <w:rsid w:val="00D73825"/>
    <w:rsid w:val="00D74371"/>
    <w:rsid w:val="00D77528"/>
    <w:rsid w:val="00D80890"/>
    <w:rsid w:val="00D81E13"/>
    <w:rsid w:val="00D824F1"/>
    <w:rsid w:val="00D82521"/>
    <w:rsid w:val="00D82730"/>
    <w:rsid w:val="00D82D13"/>
    <w:rsid w:val="00D83C3E"/>
    <w:rsid w:val="00D84173"/>
    <w:rsid w:val="00D8647C"/>
    <w:rsid w:val="00D90239"/>
    <w:rsid w:val="00D918E1"/>
    <w:rsid w:val="00D920AD"/>
    <w:rsid w:val="00D94C3D"/>
    <w:rsid w:val="00D95F2B"/>
    <w:rsid w:val="00D9764D"/>
    <w:rsid w:val="00DA27F4"/>
    <w:rsid w:val="00DA2E3F"/>
    <w:rsid w:val="00DA3080"/>
    <w:rsid w:val="00DA395D"/>
    <w:rsid w:val="00DA516E"/>
    <w:rsid w:val="00DA521E"/>
    <w:rsid w:val="00DA5694"/>
    <w:rsid w:val="00DB15D9"/>
    <w:rsid w:val="00DB1C54"/>
    <w:rsid w:val="00DB276F"/>
    <w:rsid w:val="00DB2B66"/>
    <w:rsid w:val="00DB30DF"/>
    <w:rsid w:val="00DB657D"/>
    <w:rsid w:val="00DC24F5"/>
    <w:rsid w:val="00DC3604"/>
    <w:rsid w:val="00DC574F"/>
    <w:rsid w:val="00DD2856"/>
    <w:rsid w:val="00DD69EE"/>
    <w:rsid w:val="00DE18E6"/>
    <w:rsid w:val="00DE4001"/>
    <w:rsid w:val="00DE5A88"/>
    <w:rsid w:val="00DE5E51"/>
    <w:rsid w:val="00DE64A1"/>
    <w:rsid w:val="00DF0EE9"/>
    <w:rsid w:val="00DF2864"/>
    <w:rsid w:val="00DF4B86"/>
    <w:rsid w:val="00DF5D2F"/>
    <w:rsid w:val="00E014B2"/>
    <w:rsid w:val="00E01ADA"/>
    <w:rsid w:val="00E01BC8"/>
    <w:rsid w:val="00E02C4C"/>
    <w:rsid w:val="00E07907"/>
    <w:rsid w:val="00E079D4"/>
    <w:rsid w:val="00E11336"/>
    <w:rsid w:val="00E165DE"/>
    <w:rsid w:val="00E17E10"/>
    <w:rsid w:val="00E20D5F"/>
    <w:rsid w:val="00E224DE"/>
    <w:rsid w:val="00E2344B"/>
    <w:rsid w:val="00E2573D"/>
    <w:rsid w:val="00E30881"/>
    <w:rsid w:val="00E31BC0"/>
    <w:rsid w:val="00E33726"/>
    <w:rsid w:val="00E35BB0"/>
    <w:rsid w:val="00E3693C"/>
    <w:rsid w:val="00E36B7F"/>
    <w:rsid w:val="00E407B5"/>
    <w:rsid w:val="00E419A0"/>
    <w:rsid w:val="00E44522"/>
    <w:rsid w:val="00E45626"/>
    <w:rsid w:val="00E46C45"/>
    <w:rsid w:val="00E513A2"/>
    <w:rsid w:val="00E532A9"/>
    <w:rsid w:val="00E53972"/>
    <w:rsid w:val="00E563F1"/>
    <w:rsid w:val="00E569AC"/>
    <w:rsid w:val="00E56CB9"/>
    <w:rsid w:val="00E60694"/>
    <w:rsid w:val="00E63052"/>
    <w:rsid w:val="00E658F5"/>
    <w:rsid w:val="00E676E5"/>
    <w:rsid w:val="00E705BE"/>
    <w:rsid w:val="00E7332D"/>
    <w:rsid w:val="00E736E9"/>
    <w:rsid w:val="00E77771"/>
    <w:rsid w:val="00E8165B"/>
    <w:rsid w:val="00E81BCB"/>
    <w:rsid w:val="00E857B0"/>
    <w:rsid w:val="00E9045D"/>
    <w:rsid w:val="00EA2D25"/>
    <w:rsid w:val="00EA388F"/>
    <w:rsid w:val="00EA46B3"/>
    <w:rsid w:val="00EA65D7"/>
    <w:rsid w:val="00EB0470"/>
    <w:rsid w:val="00EB0EE9"/>
    <w:rsid w:val="00EB1B0E"/>
    <w:rsid w:val="00EB263D"/>
    <w:rsid w:val="00EB2E2F"/>
    <w:rsid w:val="00EB4097"/>
    <w:rsid w:val="00EB7421"/>
    <w:rsid w:val="00EC0C5D"/>
    <w:rsid w:val="00EC2EC2"/>
    <w:rsid w:val="00EC5B6F"/>
    <w:rsid w:val="00EC701B"/>
    <w:rsid w:val="00EC733C"/>
    <w:rsid w:val="00ED0545"/>
    <w:rsid w:val="00ED0857"/>
    <w:rsid w:val="00ED14F4"/>
    <w:rsid w:val="00ED39B6"/>
    <w:rsid w:val="00ED3F2C"/>
    <w:rsid w:val="00ED69D4"/>
    <w:rsid w:val="00ED6B83"/>
    <w:rsid w:val="00EE1DA7"/>
    <w:rsid w:val="00EE4160"/>
    <w:rsid w:val="00EF0590"/>
    <w:rsid w:val="00EF46D7"/>
    <w:rsid w:val="00EF57DF"/>
    <w:rsid w:val="00F003A7"/>
    <w:rsid w:val="00F01A27"/>
    <w:rsid w:val="00F07891"/>
    <w:rsid w:val="00F106FA"/>
    <w:rsid w:val="00F1522E"/>
    <w:rsid w:val="00F163EB"/>
    <w:rsid w:val="00F1789E"/>
    <w:rsid w:val="00F213DA"/>
    <w:rsid w:val="00F225C9"/>
    <w:rsid w:val="00F252D0"/>
    <w:rsid w:val="00F26066"/>
    <w:rsid w:val="00F312ED"/>
    <w:rsid w:val="00F331FF"/>
    <w:rsid w:val="00F34EAC"/>
    <w:rsid w:val="00F350BA"/>
    <w:rsid w:val="00F35BA9"/>
    <w:rsid w:val="00F37717"/>
    <w:rsid w:val="00F446F1"/>
    <w:rsid w:val="00F51E84"/>
    <w:rsid w:val="00F51EBA"/>
    <w:rsid w:val="00F53863"/>
    <w:rsid w:val="00F57C06"/>
    <w:rsid w:val="00F663AC"/>
    <w:rsid w:val="00F6697A"/>
    <w:rsid w:val="00F66BF1"/>
    <w:rsid w:val="00F746EB"/>
    <w:rsid w:val="00F74E70"/>
    <w:rsid w:val="00F7641E"/>
    <w:rsid w:val="00F76C61"/>
    <w:rsid w:val="00F76C9B"/>
    <w:rsid w:val="00F819E7"/>
    <w:rsid w:val="00F83F23"/>
    <w:rsid w:val="00F85FD1"/>
    <w:rsid w:val="00F86EDF"/>
    <w:rsid w:val="00F87116"/>
    <w:rsid w:val="00F87859"/>
    <w:rsid w:val="00F902F6"/>
    <w:rsid w:val="00F93AD8"/>
    <w:rsid w:val="00F959F2"/>
    <w:rsid w:val="00FA187E"/>
    <w:rsid w:val="00FA6ABC"/>
    <w:rsid w:val="00FA735A"/>
    <w:rsid w:val="00FA7488"/>
    <w:rsid w:val="00FA74FF"/>
    <w:rsid w:val="00FB01F8"/>
    <w:rsid w:val="00FB07AB"/>
    <w:rsid w:val="00FB3891"/>
    <w:rsid w:val="00FB7087"/>
    <w:rsid w:val="00FB723F"/>
    <w:rsid w:val="00FC40F7"/>
    <w:rsid w:val="00FD0340"/>
    <w:rsid w:val="00FD1BE5"/>
    <w:rsid w:val="00FD412B"/>
    <w:rsid w:val="00FD4331"/>
    <w:rsid w:val="00FD47BD"/>
    <w:rsid w:val="00FD538A"/>
    <w:rsid w:val="00FD6622"/>
    <w:rsid w:val="00FD691A"/>
    <w:rsid w:val="00FD6A02"/>
    <w:rsid w:val="00FE1A0F"/>
    <w:rsid w:val="00FE24A2"/>
    <w:rsid w:val="00FE2A1F"/>
    <w:rsid w:val="00FE4F20"/>
    <w:rsid w:val="00FE786B"/>
    <w:rsid w:val="00FE7942"/>
    <w:rsid w:val="00FF0170"/>
    <w:rsid w:val="00FF1769"/>
    <w:rsid w:val="00FF1F92"/>
    <w:rsid w:val="00FF2EC2"/>
    <w:rsid w:val="00FF39F6"/>
    <w:rsid w:val="00FF5BDF"/>
    <w:rsid w:val="00FF5D73"/>
    <w:rsid w:val="00FF66C2"/>
    <w:rsid w:val="00FF7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0A27C6E-4C02-443D-9811-49A6AE6E5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A4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44F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CC46C4"/>
  </w:style>
  <w:style w:type="paragraph" w:styleId="NormalWeb">
    <w:name w:val="Normal (Web)"/>
    <w:basedOn w:val="Normal"/>
    <w:uiPriority w:val="99"/>
    <w:semiHidden/>
    <w:unhideWhenUsed/>
    <w:rsid w:val="0071317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abzacixmlChar">
    <w:name w:val="abzaci_xml Char"/>
    <w:link w:val="abzacixml"/>
    <w:uiPriority w:val="99"/>
    <w:locked/>
    <w:rsid w:val="00D47CCE"/>
    <w:rPr>
      <w:rFonts w:ascii="Sylfaen" w:hAnsi="Sylfaen"/>
      <w:sz w:val="24"/>
      <w:szCs w:val="24"/>
      <w:lang w:val="x-none" w:eastAsia="x-none"/>
    </w:rPr>
  </w:style>
  <w:style w:type="paragraph" w:customStyle="1" w:styleId="abzacixml">
    <w:name w:val="abzaci_xml"/>
    <w:basedOn w:val="PlainText"/>
    <w:link w:val="abzacixmlChar"/>
    <w:autoRedefine/>
    <w:uiPriority w:val="99"/>
    <w:rsid w:val="00D47CCE"/>
    <w:pPr>
      <w:ind w:firstLine="630"/>
      <w:jc w:val="both"/>
    </w:pPr>
    <w:rPr>
      <w:rFonts w:ascii="Sylfaen" w:hAnsi="Sylfaen" w:cstheme="minorBidi"/>
      <w:sz w:val="24"/>
      <w:szCs w:val="24"/>
      <w:lang w:val="x-none" w:eastAsia="x-non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D47CCE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D47CCE"/>
    <w:rPr>
      <w:rFonts w:ascii="Consolas" w:hAnsi="Consolas" w:cs="Consolas"/>
      <w:sz w:val="21"/>
      <w:szCs w:val="21"/>
    </w:rPr>
  </w:style>
  <w:style w:type="table" w:styleId="TableGrid">
    <w:name w:val="Table Grid"/>
    <w:basedOn w:val="TableNormal"/>
    <w:uiPriority w:val="59"/>
    <w:rsid w:val="00E658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00B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00BE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00BED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0BED"/>
  </w:style>
  <w:style w:type="paragraph" w:styleId="Footer">
    <w:name w:val="footer"/>
    <w:basedOn w:val="Normal"/>
    <w:link w:val="FooterChar"/>
    <w:uiPriority w:val="99"/>
    <w:unhideWhenUsed/>
    <w:rsid w:val="00400B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0BED"/>
  </w:style>
  <w:style w:type="character" w:styleId="Hyperlink">
    <w:name w:val="Hyperlink"/>
    <w:basedOn w:val="DefaultParagraphFont"/>
    <w:uiPriority w:val="99"/>
    <w:unhideWhenUsed/>
    <w:rsid w:val="00B7509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E564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202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2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2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2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2AE"/>
    <w:rPr>
      <w:b/>
      <w:bCs/>
      <w:sz w:val="20"/>
      <w:szCs w:val="20"/>
    </w:rPr>
  </w:style>
  <w:style w:type="paragraph" w:styleId="BodyTextIndent">
    <w:name w:val="Body Text Indent"/>
    <w:basedOn w:val="Normal"/>
    <w:link w:val="BodyTextIndentChar"/>
    <w:rsid w:val="004150CD"/>
    <w:pPr>
      <w:tabs>
        <w:tab w:val="right" w:pos="9120"/>
      </w:tabs>
      <w:spacing w:after="240" w:line="360" w:lineRule="auto"/>
      <w:ind w:firstLine="480"/>
    </w:pPr>
    <w:rPr>
      <w:rFonts w:ascii="LitNusx" w:eastAsia="Times New Roman" w:hAnsi="LitNusx" w:cs="Times New Roman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0CD"/>
    <w:rPr>
      <w:rFonts w:ascii="LitNusx" w:eastAsia="Times New Roman" w:hAnsi="LitNusx" w:cs="Times New Roman"/>
      <w:sz w:val="28"/>
      <w:szCs w:val="20"/>
    </w:rPr>
  </w:style>
  <w:style w:type="paragraph" w:customStyle="1" w:styleId="Default">
    <w:name w:val="Default"/>
    <w:rsid w:val="000A05E4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</w:rPr>
  </w:style>
  <w:style w:type="paragraph" w:customStyle="1" w:styleId="Normal22">
    <w:name w:val="Normal_22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paragraph" w:customStyle="1" w:styleId="Normal25">
    <w:name w:val="Normal_25"/>
    <w:qFormat/>
    <w:rsid w:val="00A405DB"/>
    <w:pPr>
      <w:spacing w:after="180"/>
    </w:pPr>
    <w:rPr>
      <w:rFonts w:ascii="Verdana" w:eastAsia="Times New Roman" w:hAnsi="Verdana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32625"/>
    <w:rPr>
      <w:color w:val="800080"/>
      <w:u w:val="single"/>
    </w:rPr>
  </w:style>
  <w:style w:type="paragraph" w:customStyle="1" w:styleId="msonormal0">
    <w:name w:val="msonormal"/>
    <w:basedOn w:val="Normal"/>
    <w:rsid w:val="000326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</w:rPr>
  </w:style>
  <w:style w:type="paragraph" w:customStyle="1" w:styleId="font6">
    <w:name w:val="font6"/>
    <w:basedOn w:val="Normal"/>
    <w:rsid w:val="00032625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</w:rPr>
  </w:style>
  <w:style w:type="paragraph" w:customStyle="1" w:styleId="font7">
    <w:name w:val="font7"/>
    <w:basedOn w:val="Normal"/>
    <w:rsid w:val="00032625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8"/>
      <w:szCs w:val="18"/>
    </w:rPr>
  </w:style>
  <w:style w:type="paragraph" w:customStyle="1" w:styleId="xl35634">
    <w:name w:val="xl35634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5">
    <w:name w:val="xl35635"/>
    <w:basedOn w:val="Normal"/>
    <w:rsid w:val="00032625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6">
    <w:name w:val="xl3563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color w:val="C00000"/>
      <w:sz w:val="24"/>
      <w:szCs w:val="24"/>
    </w:rPr>
  </w:style>
  <w:style w:type="paragraph" w:customStyle="1" w:styleId="xl35637">
    <w:name w:val="xl35637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8">
    <w:name w:val="xl35638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39">
    <w:name w:val="xl35639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640">
    <w:name w:val="xl35640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641">
    <w:name w:val="xl35641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2">
    <w:name w:val="xl35642"/>
    <w:basedOn w:val="Normal"/>
    <w:rsid w:val="00032625"/>
    <w:pPr>
      <w:pBdr>
        <w:top w:val="double" w:sz="6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C00000"/>
      <w:sz w:val="16"/>
      <w:szCs w:val="16"/>
    </w:rPr>
  </w:style>
  <w:style w:type="paragraph" w:customStyle="1" w:styleId="xl35643">
    <w:name w:val="xl3564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4">
    <w:name w:val="xl3564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5">
    <w:name w:val="xl35645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46">
    <w:name w:val="xl35646"/>
    <w:basedOn w:val="Normal"/>
    <w:rsid w:val="00032625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7">
    <w:name w:val="xl3564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8">
    <w:name w:val="xl35648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49">
    <w:name w:val="xl35649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0">
    <w:name w:val="xl3565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1">
    <w:name w:val="xl3565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2">
    <w:name w:val="xl35652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3">
    <w:name w:val="xl3565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4">
    <w:name w:val="xl35654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5">
    <w:name w:val="xl3565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6">
    <w:name w:val="xl3565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7">
    <w:name w:val="xl3565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8">
    <w:name w:val="xl35658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59">
    <w:name w:val="xl35659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0">
    <w:name w:val="xl3566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1">
    <w:name w:val="xl3566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2">
    <w:name w:val="xl356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3">
    <w:name w:val="xl35663"/>
    <w:basedOn w:val="Normal"/>
    <w:rsid w:val="000326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4">
    <w:name w:val="xl3566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5">
    <w:name w:val="xl3566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6">
    <w:name w:val="xl35666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7">
    <w:name w:val="xl3566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8">
    <w:name w:val="xl3566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69">
    <w:name w:val="xl35669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0">
    <w:name w:val="xl35670"/>
    <w:basedOn w:val="Normal"/>
    <w:rsid w:val="00032625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1">
    <w:name w:val="xl35671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672">
    <w:name w:val="xl35672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3">
    <w:name w:val="xl3567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4">
    <w:name w:val="xl35674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5">
    <w:name w:val="xl35675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6">
    <w:name w:val="xl35676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7">
    <w:name w:val="xl35677"/>
    <w:basedOn w:val="Normal"/>
    <w:rsid w:val="00032625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8">
    <w:name w:val="xl35678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79">
    <w:name w:val="xl35679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0">
    <w:name w:val="xl35680"/>
    <w:basedOn w:val="Normal"/>
    <w:rsid w:val="00032625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1">
    <w:name w:val="xl35681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2">
    <w:name w:val="xl35682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3">
    <w:name w:val="xl3568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4">
    <w:name w:val="xl35684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685">
    <w:name w:val="xl3568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6">
    <w:name w:val="xl35686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87">
    <w:name w:val="xl35687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8">
    <w:name w:val="xl3568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89">
    <w:name w:val="xl35689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690">
    <w:name w:val="xl35690"/>
    <w:basedOn w:val="Normal"/>
    <w:rsid w:val="00032625"/>
    <w:pPr>
      <w:pBdr>
        <w:lef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1">
    <w:name w:val="xl35691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2">
    <w:name w:val="xl35692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3">
    <w:name w:val="xl35693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4">
    <w:name w:val="xl35694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5">
    <w:name w:val="xl3569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6">
    <w:name w:val="xl3569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7">
    <w:name w:val="xl35697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8">
    <w:name w:val="xl35698"/>
    <w:basedOn w:val="Normal"/>
    <w:rsid w:val="00032625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699">
    <w:name w:val="xl35699"/>
    <w:basedOn w:val="Normal"/>
    <w:rsid w:val="00032625"/>
    <w:pPr>
      <w:pBdr>
        <w:top w:val="single" w:sz="4" w:space="0" w:color="auto"/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0">
    <w:name w:val="xl35700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1">
    <w:name w:val="xl35701"/>
    <w:basedOn w:val="Normal"/>
    <w:rsid w:val="00032625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35702">
    <w:name w:val="xl35702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03">
    <w:name w:val="xl35703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4">
    <w:name w:val="xl35704"/>
    <w:basedOn w:val="Normal"/>
    <w:rsid w:val="0003262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5">
    <w:name w:val="xl3570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6">
    <w:name w:val="xl35706"/>
    <w:basedOn w:val="Normal"/>
    <w:rsid w:val="00032625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7">
    <w:name w:val="xl35707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8">
    <w:name w:val="xl35708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09">
    <w:name w:val="xl35709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10">
    <w:name w:val="xl35710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1">
    <w:name w:val="xl35711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2">
    <w:name w:val="xl3571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13">
    <w:name w:val="xl3571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14">
    <w:name w:val="xl3571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15">
    <w:name w:val="xl35715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16">
    <w:name w:val="xl35716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7">
    <w:name w:val="xl35717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8">
    <w:name w:val="xl3571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19">
    <w:name w:val="xl35719"/>
    <w:basedOn w:val="Normal"/>
    <w:rsid w:val="00032625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0">
    <w:name w:val="xl35720"/>
    <w:basedOn w:val="Normal"/>
    <w:rsid w:val="00032625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4"/>
      <w:szCs w:val="14"/>
    </w:rPr>
  </w:style>
  <w:style w:type="paragraph" w:customStyle="1" w:styleId="xl35721">
    <w:name w:val="xl35721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xl35722">
    <w:name w:val="xl35722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3">
    <w:name w:val="xl35723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4">
    <w:name w:val="xl35724"/>
    <w:basedOn w:val="Normal"/>
    <w:rsid w:val="00032625"/>
    <w:pPr>
      <w:pBdr>
        <w:left w:val="single" w:sz="8" w:space="0" w:color="auto"/>
        <w:bottom w:val="dotted" w:sz="4" w:space="0" w:color="A6A6A6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5">
    <w:name w:val="xl3572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6">
    <w:name w:val="xl35726"/>
    <w:basedOn w:val="Normal"/>
    <w:rsid w:val="00032625"/>
    <w:pPr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7">
    <w:name w:val="xl35727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8">
    <w:name w:val="xl35728"/>
    <w:basedOn w:val="Normal"/>
    <w:rsid w:val="00032625"/>
    <w:pPr>
      <w:pBdr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29">
    <w:name w:val="xl3572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0">
    <w:name w:val="xl35730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1">
    <w:name w:val="xl35731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2">
    <w:name w:val="xl3573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3">
    <w:name w:val="xl35733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4">
    <w:name w:val="xl35734"/>
    <w:basedOn w:val="Normal"/>
    <w:rsid w:val="00032625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5">
    <w:name w:val="xl35735"/>
    <w:basedOn w:val="Normal"/>
    <w:rsid w:val="00032625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6">
    <w:name w:val="xl35736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7">
    <w:name w:val="xl35737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8">
    <w:name w:val="xl35738"/>
    <w:basedOn w:val="Normal"/>
    <w:rsid w:val="00032625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39">
    <w:name w:val="xl35739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0">
    <w:name w:val="xl35740"/>
    <w:basedOn w:val="Normal"/>
    <w:rsid w:val="00032625"/>
    <w:pPr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1">
    <w:name w:val="xl35741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2">
    <w:name w:val="xl35742"/>
    <w:basedOn w:val="Normal"/>
    <w:rsid w:val="00032625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3">
    <w:name w:val="xl35743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4">
    <w:name w:val="xl35744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5">
    <w:name w:val="xl35745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6">
    <w:name w:val="xl35746"/>
    <w:basedOn w:val="Normal"/>
    <w:rsid w:val="00032625"/>
    <w:pPr>
      <w:pBdr>
        <w:top w:val="double" w:sz="6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47">
    <w:name w:val="xl35747"/>
    <w:basedOn w:val="Normal"/>
    <w:rsid w:val="0003262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8">
    <w:name w:val="xl35748"/>
    <w:basedOn w:val="Normal"/>
    <w:rsid w:val="0003262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49">
    <w:name w:val="xl35749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xl35750">
    <w:name w:val="xl3575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1">
    <w:name w:val="xl35751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2">
    <w:name w:val="xl35752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53">
    <w:name w:val="xl35753"/>
    <w:basedOn w:val="Normal"/>
    <w:rsid w:val="00032625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4">
    <w:name w:val="xl35754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5">
    <w:name w:val="xl35755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6">
    <w:name w:val="xl35756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7">
    <w:name w:val="xl35757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8">
    <w:name w:val="xl35758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59">
    <w:name w:val="xl35759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0">
    <w:name w:val="xl35760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1">
    <w:name w:val="xl35761"/>
    <w:basedOn w:val="Normal"/>
    <w:rsid w:val="00032625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2">
    <w:name w:val="xl35762"/>
    <w:basedOn w:val="Normal"/>
    <w:rsid w:val="00032625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3">
    <w:name w:val="xl3576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4">
    <w:name w:val="xl35764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5">
    <w:name w:val="xl35765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66">
    <w:name w:val="xl35766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7">
    <w:name w:val="xl35767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5768">
    <w:name w:val="xl35768"/>
    <w:basedOn w:val="Normal"/>
    <w:rsid w:val="00032625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69">
    <w:name w:val="xl35769"/>
    <w:basedOn w:val="Normal"/>
    <w:rsid w:val="00032625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0">
    <w:name w:val="xl35770"/>
    <w:basedOn w:val="Normal"/>
    <w:rsid w:val="00032625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1">
    <w:name w:val="xl35771"/>
    <w:basedOn w:val="Normal"/>
    <w:rsid w:val="00032625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2">
    <w:name w:val="xl35772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3">
    <w:name w:val="xl35773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2"/>
      <w:szCs w:val="12"/>
    </w:rPr>
  </w:style>
  <w:style w:type="paragraph" w:customStyle="1" w:styleId="xl35774">
    <w:name w:val="xl35774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5">
    <w:name w:val="xl35775"/>
    <w:basedOn w:val="Normal"/>
    <w:rsid w:val="00032625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6">
    <w:name w:val="xl35776"/>
    <w:basedOn w:val="Normal"/>
    <w:rsid w:val="00032625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7">
    <w:name w:val="xl35777"/>
    <w:basedOn w:val="Normal"/>
    <w:rsid w:val="00032625"/>
    <w:pPr>
      <w:pBdr>
        <w:top w:val="single" w:sz="4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78">
    <w:name w:val="xl35778"/>
    <w:basedOn w:val="Normal"/>
    <w:rsid w:val="00032625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79">
    <w:name w:val="xl35779"/>
    <w:basedOn w:val="Normal"/>
    <w:rsid w:val="00032625"/>
    <w:pPr>
      <w:pBdr>
        <w:left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0">
    <w:name w:val="xl35780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1">
    <w:name w:val="xl35781"/>
    <w:basedOn w:val="Normal"/>
    <w:rsid w:val="0003262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xl35782">
    <w:name w:val="xl35782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3">
    <w:name w:val="xl35783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784">
    <w:name w:val="xl35784"/>
    <w:basedOn w:val="Normal"/>
    <w:rsid w:val="000326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5">
    <w:name w:val="xl35785"/>
    <w:basedOn w:val="Normal"/>
    <w:rsid w:val="00032625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6">
    <w:name w:val="xl35786"/>
    <w:basedOn w:val="Normal"/>
    <w:rsid w:val="000326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sz w:val="18"/>
      <w:szCs w:val="18"/>
    </w:rPr>
  </w:style>
  <w:style w:type="paragraph" w:customStyle="1" w:styleId="xl35787">
    <w:name w:val="xl35787"/>
    <w:basedOn w:val="Normal"/>
    <w:rsid w:val="00032625"/>
    <w:pPr>
      <w:pBdr>
        <w:top w:val="double" w:sz="6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35788">
    <w:name w:val="xl35788"/>
    <w:basedOn w:val="Normal"/>
    <w:rsid w:val="00032625"/>
    <w:pPr>
      <w:pBdr>
        <w:top w:val="double" w:sz="6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6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9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5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8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0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4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9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3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6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7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7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1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8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2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10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9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9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1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8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6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1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8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2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83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manana.kharchilava\Desktop\MAR\report\Average%20Weighted%20Interest%20Rate_2020%20MAR.xlsx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OCT\Report\Average%20Weighted%20Interest%20Rate_2020%2031%20OCT.xlsx" TargetMode="Externa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oleObject" Target="file:///C:\Users\User\Desktop\OCT\Report\Average%20Weighted%20Interest%20Rate_2020%2031%20OCT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1.3289362469298831E-2"/>
          <c:y val="0.10064981982793048"/>
          <c:w val="0.93548141632159754"/>
          <c:h val="0.8503996844953966"/>
        </c:manualLayout>
      </c:layout>
      <c:ofPieChart>
        <c:ofPieType val="bar"/>
        <c:varyColors val="1"/>
        <c:ser>
          <c:idx val="0"/>
          <c:order val="0"/>
          <c:tx>
            <c:strRef>
              <c:f>'GVT მარტი'!$P$32</c:f>
              <c:strCache>
                <c:ptCount val="1"/>
                <c:pt idx="0">
                  <c:v> საშინაო </c:v>
                </c:pt>
              </c:strCache>
            </c:strRef>
          </c:tx>
          <c:spPr>
            <a:ln>
              <a:solidFill>
                <a:schemeClr val="bg1"/>
              </a:solidFill>
            </a:ln>
            <a:scene3d>
              <a:camera prst="orthographicFront"/>
              <a:lightRig rig="threePt" dir="t"/>
            </a:scene3d>
            <a:sp3d>
              <a:bevelT w="88900"/>
            </a:sp3d>
          </c:spPr>
          <c:dPt>
            <c:idx val="0"/>
            <c:bubble3D val="0"/>
            <c:explosion val="4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1-6C6F-44DC-B449-9671B51A1B2E}"/>
              </c:ext>
            </c:extLst>
          </c:dPt>
          <c:dPt>
            <c:idx val="1"/>
            <c:bubble3D val="0"/>
            <c:spPr>
              <a:solidFill>
                <a:srgbClr val="A5C6F7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3-6C6F-44DC-B449-9671B51A1B2E}"/>
              </c:ext>
            </c:extLst>
          </c:dPt>
          <c:dPt>
            <c:idx val="2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5-6C6F-44DC-B449-9671B51A1B2E}"/>
              </c:ext>
            </c:extLst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7-6C6F-44DC-B449-9671B51A1B2E}"/>
              </c:ext>
            </c:extLst>
          </c:dPt>
          <c:dPt>
            <c:idx val="4"/>
            <c:bubble3D val="0"/>
            <c:spPr>
              <a:solidFill>
                <a:schemeClr val="accent2"/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9-6C6F-44DC-B449-9671B51A1B2E}"/>
              </c:ext>
            </c:extLst>
          </c:dPt>
          <c:dPt>
            <c:idx val="5"/>
            <c:bubble3D val="0"/>
            <c:spPr>
              <a:solidFill>
                <a:schemeClr val="accent1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  <a:scene3d>
                <a:camera prst="orthographicFront"/>
                <a:lightRig rig="threePt" dir="t"/>
              </a:scene3d>
              <a:sp3d>
                <a:bevelT w="88900"/>
              </a:sp3d>
            </c:spPr>
            <c:extLst>
              <c:ext xmlns:c16="http://schemas.microsoft.com/office/drawing/2014/chart" uri="{C3380CC4-5D6E-409C-BE32-E72D297353CC}">
                <c16:uniqueId val="{0000000B-6C6F-44DC-B449-9671B51A1B2E}"/>
              </c:ext>
            </c:extLst>
          </c:dPt>
          <c:dLbls>
            <c:dLbl>
              <c:idx val="0"/>
              <c:layout>
                <c:manualLayout>
                  <c:x val="0.11114534388923454"/>
                  <c:y val="5.1229518640267058E-3"/>
                </c:manualLayout>
              </c:layout>
              <c:tx>
                <c:rich>
                  <a:bodyPr/>
                  <a:lstStyle/>
                  <a:p>
                    <a:r>
                      <a:rPr lang="ka-GE" sz="900"/>
                      <a:t> საშინაო 
19%</a:t>
                    </a:r>
                    <a:endParaRPr lang="ka-GE"/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6C6F-44DC-B449-9671B51A1B2E}"/>
                </c:ext>
              </c:extLst>
            </c:dLbl>
            <c:dLbl>
              <c:idx val="1"/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მრავალმხრივი
59%</a:t>
                    </a:r>
                  </a:p>
                </c:rich>
              </c:tx>
              <c:spPr>
                <a:noFill/>
              </c:spPr>
              <c:dLblPos val="ctr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6C6F-44DC-B449-9671B51A1B2E}"/>
                </c:ext>
              </c:extLst>
            </c:dLbl>
            <c:dLbl>
              <c:idx val="2"/>
              <c:layout>
                <c:manualLayout>
                  <c:x val="-0.1006752426295551"/>
                  <c:y val="-2.1195408006431628E-2"/>
                </c:manualLayout>
              </c:layout>
              <c:tx>
                <c:rich>
                  <a:bodyPr/>
                  <a:lstStyle/>
                  <a:p>
                    <a:fld id="{A12E743F-15B9-46A9-B71D-F6AD22838EBC}" type="CATEGORYNAME">
                      <a:rPr lang="ka-GE"/>
                      <a:pPr/>
                      <a:t>[CATEGORY NAME]</a:t>
                    </a:fld>
                    <a:r>
                      <a:rPr lang="ka-GE" baseline="0"/>
                      <a:t>
17%</a:t>
                    </a:r>
                  </a:p>
                </c:rich>
              </c:tx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5133522553866808"/>
                      <c:h val="0.22853503109408621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6C6F-44DC-B449-9671B51A1B2E}"/>
                </c:ext>
              </c:extLst>
            </c:dLbl>
            <c:dLbl>
              <c:idx val="3"/>
              <c:layout>
                <c:manualLayout>
                  <c:x val="-9.3904046877861191E-2"/>
                  <c:y val="-3.5971010380459198E-3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fld id="{2487489D-5AE6-42DF-A20C-711714267CF7}" type="CATEGORYNAME">
                      <a:rPr lang="ka-GE" sz="800">
                        <a:solidFill>
                          <a:sysClr val="windowText" lastClr="000000"/>
                        </a:solidFill>
                      </a:rPr>
                      <a:pPr>
                        <a:defRPr sz="800">
                          <a:solidFill>
                            <a:sysClr val="windowText" lastClr="000000"/>
                          </a:solidFill>
                          <a:latin typeface="Calibri" pitchFamily="34" charset="0"/>
                        </a:defRPr>
                      </a:pPr>
                      <a:t>[CATEGORY NAME]</a:t>
                    </a:fld>
                    <a:r>
                      <a:rPr lang="ka-GE" sz="800">
                        <a:solidFill>
                          <a:sysClr val="windowText" lastClr="000000"/>
                        </a:solidFill>
                      </a:rPr>
                      <a:t> 5</a:t>
                    </a:r>
                    <a:r>
                      <a:rPr lang="ka-GE" sz="800" baseline="0">
                        <a:solidFill>
                          <a:sysClr val="windowText" lastClr="000000"/>
                        </a:solidFill>
                      </a:rPr>
                      <a:t>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1415461148751761"/>
                      <c:h val="0.146412357239128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6C6F-44DC-B449-9671B51A1B2E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6C6F-44DC-B449-9671B51A1B2E}"/>
                </c:ext>
              </c:extLst>
            </c:dLbl>
            <c:dLbl>
              <c:idx val="5"/>
              <c:layout>
                <c:manualLayout>
                  <c:x val="-0.18524433764580517"/>
                  <c:y val="-1.1840670175295508E-2"/>
                </c:manualLayout>
              </c:layout>
              <c:tx>
                <c:rich>
                  <a:bodyPr/>
                  <a:lstStyle/>
                  <a:p>
                    <a:pPr>
                      <a:defRPr sz="900">
                        <a:solidFill>
                          <a:sysClr val="windowText" lastClr="000000"/>
                        </a:solidFill>
                        <a:latin typeface="Calibri" pitchFamily="34" charset="0"/>
                      </a:defRPr>
                    </a:pPr>
                    <a:r>
                      <a:rPr lang="ka-GE" sz="900" dirty="0">
                        <a:solidFill>
                          <a:sysClr val="windowText" lastClr="000000"/>
                        </a:solidFill>
                      </a:rPr>
                      <a:t>საგარეო
81%</a:t>
                    </a:r>
                  </a:p>
                </c:rich>
              </c:tx>
              <c:spPr/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6C6F-44DC-B449-9671B51A1B2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800">
                    <a:solidFill>
                      <a:sysClr val="windowText" lastClr="000000"/>
                    </a:solidFill>
                    <a:latin typeface="Calibri" pitchFamily="34" charset="0"/>
                  </a:defRPr>
                </a:pPr>
                <a:endParaRPr lang="en-US"/>
              </a:p>
            </c:txPr>
            <c:dLblPos val="ctr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'GVT მარტი'!$P$32:$P$36</c:f>
              <c:strCache>
                <c:ptCount val="5"/>
                <c:pt idx="0">
                  <c:v> საშინაო </c:v>
                </c:pt>
                <c:pt idx="1">
                  <c:v>მრავალმხრივი</c:v>
                </c:pt>
                <c:pt idx="2">
                  <c:v>ორმხრივი</c:v>
                </c:pt>
                <c:pt idx="3">
                  <c:v>ევრობონდი</c:v>
                </c:pt>
                <c:pt idx="4">
                  <c:v>გარანტირებული</c:v>
                </c:pt>
              </c:strCache>
            </c:strRef>
          </c:cat>
          <c:val>
            <c:numRef>
              <c:f>'GVT მარტი'!$Q$32:$Q$36</c:f>
              <c:numCache>
                <c:formatCode>_(* #,##0_);_(* \(#,##0\);_(* "-"??_);_(@_)</c:formatCode>
                <c:ptCount val="5"/>
                <c:pt idx="0">
                  <c:v>4511786.9675800009</c:v>
                </c:pt>
                <c:pt idx="1">
                  <c:v>12779704.201760996</c:v>
                </c:pt>
                <c:pt idx="2">
                  <c:v>3448798.7942369478</c:v>
                </c:pt>
                <c:pt idx="3">
                  <c:v>1642250</c:v>
                </c:pt>
                <c:pt idx="4">
                  <c:v>5456.7829030000003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6C6F-44DC-B449-9671B51A1B2E}"/>
            </c:ext>
          </c:extLst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gapWidth val="66"/>
        <c:splitType val="pos"/>
        <c:splitPos val="4"/>
        <c:secondPieSize val="99"/>
        <c:serLines/>
      </c:ofPieChart>
      <c:spPr>
        <a:noFill/>
        <a:ln w="25400">
          <a:noFill/>
        </a:ln>
      </c:spPr>
    </c:plotArea>
    <c:plotVisOnly val="1"/>
    <c:dispBlanksAs val="zero"/>
    <c:showDLblsOverMax val="0"/>
  </c:chart>
  <c:spPr>
    <a:ln>
      <a:noFill/>
    </a:ln>
  </c:sp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18"/>
    </mc:Choice>
    <mc:Fallback>
      <c:style val="18"/>
    </mc:Fallback>
  </mc:AlternateContent>
  <c:chart>
    <c:title>
      <c:tx>
        <c:rich>
          <a:bodyPr/>
          <a:lstStyle/>
          <a:p>
            <a:pPr>
              <a:defRPr sz="900" b="0"/>
            </a:pPr>
            <a:r>
              <a:rPr lang="ka-GE" sz="900" b="0" i="0" u="none" strike="noStrike" baseline="0"/>
              <a:t>საპროცენტო განაკვეთის ტიპი</a:t>
            </a:r>
            <a:endParaRPr lang="en-US" sz="900" b="0"/>
          </a:p>
        </c:rich>
      </c:tx>
      <c:layout>
        <c:manualLayout>
          <c:xMode val="edge"/>
          <c:yMode val="edge"/>
          <c:x val="0.15969266662180048"/>
          <c:y val="0"/>
        </c:manualLayout>
      </c:layout>
      <c:overlay val="0"/>
    </c:title>
    <c:autoTitleDeleted val="0"/>
    <c:view3D>
      <c:rotX val="40"/>
      <c:rotY val="20"/>
      <c:rAngAx val="0"/>
      <c:perspective val="5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5.1502344258249767E-2"/>
          <c:y val="0.25312899645933518"/>
          <c:w val="0.93710119568387285"/>
          <c:h val="0.74687100354066482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9"/>
          <c:dPt>
            <c:idx val="0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  <a:effectLst>
                <a:outerShdw blurRad="40000" dist="23000" dir="5400000" sx="1000" sy="1000" rotWithShape="0">
                  <a:schemeClr val="bg1">
                    <a:alpha val="35000"/>
                  </a:schemeClr>
                </a:outerShdw>
              </a:effectLst>
            </c:spPr>
            <c:extLst>
              <c:ext xmlns:c16="http://schemas.microsoft.com/office/drawing/2014/chart" uri="{C3380CC4-5D6E-409C-BE32-E72D297353CC}">
                <c16:uniqueId val="{00000001-D1C7-4333-85A6-28A4B873D902}"/>
              </c:ext>
            </c:extLst>
          </c:dPt>
          <c:dPt>
            <c:idx val="1"/>
            <c:bubble3D val="0"/>
            <c:explosion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D1C7-4333-85A6-28A4B873D902}"/>
              </c:ext>
            </c:extLst>
          </c:dPt>
          <c:dLbls>
            <c:dLbl>
              <c:idx val="0"/>
              <c:layout>
                <c:manualLayout>
                  <c:x val="-0.11590016613749321"/>
                  <c:y val="-0.14401580500970498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38A9DE4D-14D6-4041-8AC4-B3A9C5F1956F}" type="CATEGORYNAME">
                      <a:rPr lang="ka-GE" sz="800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sz="800" baseline="0"/>
                      <a:t>
56%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39245171276667346"/>
                      <c:h val="0.3109506949215240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1C7-4333-85A6-28A4B873D902}"/>
                </c:ext>
              </c:extLst>
            </c:dLbl>
            <c:dLbl>
              <c:idx val="1"/>
              <c:layout>
                <c:manualLayout>
                  <c:x val="0.16597797070238013"/>
                  <c:y val="7.2538533354471593E-2"/>
                </c:manualLayout>
              </c:layout>
              <c:tx>
                <c:rich>
                  <a:bodyPr/>
                  <a:lstStyle/>
                  <a:p>
                    <a:pPr>
                      <a:defRPr sz="800" b="0">
                        <a:solidFill>
                          <a:sysClr val="windowText" lastClr="000000"/>
                        </a:solidFill>
                      </a:defRPr>
                    </a:pPr>
                    <a:fld id="{52199750-D3D4-4EF5-B2FB-1221535734FC}" type="CATEGORYNAME">
                      <a:rPr lang="ka-GE"/>
                      <a:pPr>
                        <a:defRPr sz="800" b="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ka-GE" baseline="0"/>
                      <a:t>
44%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45056781475048002"/>
                      <c:h val="0.29938712760370817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1C7-4333-85A6-28A4B873D902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700" b="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GVT'!$L$40:$L$41</c:f>
              <c:strCache>
                <c:ptCount val="2"/>
                <c:pt idx="0">
                  <c:v>ფიქსირებული</c:v>
                </c:pt>
                <c:pt idx="1">
                  <c:v>ცვლადი</c:v>
                </c:pt>
              </c:strCache>
            </c:strRef>
          </c:cat>
          <c:val>
            <c:numRef>
              <c:f>'SEP-20 GVT'!$M$40:$M$41</c:f>
              <c:numCache>
                <c:formatCode>_(* #,##0_);_(* \(#,##0\);_(* "-"??_);_(@_)</c:formatCode>
                <c:ptCount val="2"/>
                <c:pt idx="0">
                  <c:v>3479814.3127420009</c:v>
                </c:pt>
                <c:pt idx="1">
                  <c:v>3257941.7071850006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D1C7-4333-85A6-28A4B873D902}"/>
            </c:ext>
          </c:extLst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40"/>
      <c:rotY val="81"/>
      <c:rAngAx val="0"/>
      <c:perspective val="4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2460432412503621"/>
          <c:y val="0.21857398002764447"/>
          <c:w val="0.7366291485513895"/>
          <c:h val="0.73605491621239671"/>
        </c:manualLayout>
      </c:layout>
      <c:pie3DChart>
        <c:varyColors val="1"/>
        <c:ser>
          <c:idx val="0"/>
          <c:order val="0"/>
          <c:spPr>
            <a:ln>
              <a:solidFill>
                <a:schemeClr val="bg1"/>
              </a:solidFill>
            </a:ln>
          </c:spPr>
          <c:explosion val="8"/>
          <c:dPt>
            <c:idx val="0"/>
            <c:bubble3D val="0"/>
            <c:spPr>
              <a:solidFill>
                <a:schemeClr val="accent5"/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1-5081-4972-AEE2-3808A9CB1816}"/>
              </c:ext>
            </c:extLst>
          </c:dPt>
          <c:dPt>
            <c:idx val="1"/>
            <c:bubble3D val="0"/>
            <c:spPr>
              <a:solidFill>
                <a:schemeClr val="accent4">
                  <a:lumMod val="60000"/>
                  <a:lumOff val="4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3-5081-4972-AEE2-3808A9CB1816}"/>
              </c:ext>
            </c:extLst>
          </c:dPt>
          <c:dPt>
            <c:idx val="2"/>
            <c:bubble3D val="0"/>
            <c:spPr>
              <a:solidFill>
                <a:schemeClr val="accent5">
                  <a:lumMod val="40000"/>
                  <a:lumOff val="60000"/>
                </a:schemeClr>
              </a:solidFill>
              <a:ln>
                <a:solidFill>
                  <a:schemeClr val="bg1"/>
                </a:solidFill>
              </a:ln>
            </c:spPr>
            <c:extLst>
              <c:ext xmlns:c16="http://schemas.microsoft.com/office/drawing/2014/chart" uri="{C3380CC4-5D6E-409C-BE32-E72D297353CC}">
                <c16:uniqueId val="{00000005-5081-4972-AEE2-3808A9CB1816}"/>
              </c:ext>
            </c:extLst>
          </c:dPt>
          <c:dLbls>
            <c:dLbl>
              <c:idx val="0"/>
              <c:layout>
                <c:manualLayout>
                  <c:x val="-0.1923726852868736"/>
                  <c:y val="-0.23747377987245261"/>
                </c:manualLayout>
              </c:layout>
              <c:tx>
                <c:rich>
                  <a:bodyPr/>
                  <a:lstStyle/>
                  <a:p>
                    <a:pPr>
                      <a:defRPr sz="800">
                        <a:solidFill>
                          <a:sysClr val="windowText" lastClr="000000"/>
                        </a:solidFill>
                      </a:defRPr>
                    </a:pPr>
                    <a:fld id="{CCA4667D-2301-4FC9-92CC-1995B007F7D7}" type="CATEGORYNAME">
                      <a:rPr lang="en-US"/>
                      <a:pPr>
                        <a:defRPr sz="800">
                          <a:solidFill>
                            <a:sysClr val="windowText" lastClr="000000"/>
                          </a:solidFill>
                        </a:defRPr>
                      </a:pPr>
                      <a:t>[CATEGORY NAME]</a:t>
                    </a:fld>
                    <a:r>
                      <a:rPr lang="en-US" baseline="0"/>
                      <a:t> 50%</a:t>
                    </a:r>
                  </a:p>
                </c:rich>
              </c:tx>
              <c:numFmt formatCode="0%" sourceLinked="0"/>
              <c:spPr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5081-4972-AEE2-3808A9CB1816}"/>
                </c:ext>
              </c:extLst>
            </c:dLbl>
            <c:dLbl>
              <c:idx val="1"/>
              <c:layout>
                <c:manualLayout>
                  <c:x val="0.17752514359275701"/>
                  <c:y val="1.390859915355055E-2"/>
                </c:manualLayout>
              </c:layout>
              <c:tx>
                <c:rich>
                  <a:bodyPr/>
                  <a:lstStyle/>
                  <a:p>
                    <a:fld id="{A0EAEC30-4977-4293-B199-C1751B452A07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23%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5081-4972-AEE2-3808A9CB1816}"/>
                </c:ext>
              </c:extLst>
            </c:dLbl>
            <c:dLbl>
              <c:idx val="2"/>
              <c:layout>
                <c:manualLayout>
                  <c:x val="-0.11856446541340979"/>
                  <c:y val="0.19262160515865673"/>
                </c:manualLayout>
              </c:layout>
              <c:tx>
                <c:rich>
                  <a:bodyPr/>
                  <a:lstStyle/>
                  <a:p>
                    <a:fld id="{91897848-FE90-4144-9F93-24B4BFD9B6DF}" type="CATEGORYNAME">
                      <a:rPr lang="en-US"/>
                      <a:pPr/>
                      <a:t>[CATEGORY NAME]</a:t>
                    </a:fld>
                    <a:r>
                      <a:rPr lang="en-US" baseline="0"/>
                      <a:t> 25%</a:t>
                    </a:r>
                  </a:p>
                </c:rich>
              </c:tx>
              <c:showLegendKey val="0"/>
              <c:showVal val="1"/>
              <c:showCatName val="1"/>
              <c:showSerName val="0"/>
              <c:showPercent val="0"/>
              <c:showBubbleSize val="0"/>
              <c:separator>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5081-4972-AEE2-3808A9CB1816}"/>
                </c:ext>
              </c:extLst>
            </c:dLbl>
            <c:dLbl>
              <c:idx val="3"/>
              <c:numFmt formatCode="0%" sourceLinked="0"/>
              <c:spPr/>
              <c:txPr>
                <a:bodyPr/>
                <a:lstStyle/>
                <a:p>
                  <a:pPr>
                    <a:defRPr sz="800">
                      <a:solidFill>
                        <a:sysClr val="windowText" lastClr="000000"/>
                      </a:solidFill>
                    </a:defRPr>
                  </a:pPr>
                  <a:endParaRPr lang="en-US"/>
                </a:p>
              </c:txPr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5081-4972-AEE2-3808A9CB1816}"/>
                </c:ext>
              </c:extLst>
            </c:dLbl>
            <c:numFmt formatCode="0%" sourceLinked="0"/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00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LegendKey val="0"/>
            <c:showVal val="1"/>
            <c:showCatName val="1"/>
            <c:showSerName val="0"/>
            <c:showPercent val="0"/>
            <c:showBubbleSize val="0"/>
            <c:separator> </c:separator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'SEP-20 GVT'!$K$51:$K$54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GVT'!$M$51:$M$54</c:f>
              <c:numCache>
                <c:formatCode>0%</c:formatCode>
                <c:ptCount val="4"/>
                <c:pt idx="0">
                  <c:v>0.42030205467705289</c:v>
                </c:pt>
                <c:pt idx="1">
                  <c:v>0.26883764891736539</c:v>
                </c:pt>
                <c:pt idx="2">
                  <c:v>0.27724464243367464</c:v>
                </c:pt>
                <c:pt idx="3">
                  <c:v>3.3615653971907099E-2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5081-4972-AEE2-3808A9CB1816}"/>
            </c:ext>
          </c:extLst>
        </c:ser>
        <c:ser>
          <c:idx val="1"/>
          <c:order val="1"/>
          <c:explosion val="25"/>
          <c:cat>
            <c:strRef>
              <c:f>'SEP-20 GVT'!$K$51:$K$54</c:f>
              <c:strCache>
                <c:ptCount val="4"/>
                <c:pt idx="0">
                  <c:v>EUR</c:v>
                </c:pt>
                <c:pt idx="1">
                  <c:v>SDR</c:v>
                </c:pt>
                <c:pt idx="2">
                  <c:v>USD</c:v>
                </c:pt>
                <c:pt idx="3">
                  <c:v>სხვა</c:v>
                </c:pt>
              </c:strCache>
            </c:strRef>
          </c:cat>
          <c:val>
            <c:numRef>
              <c:f>'SEP-20 GVT'!$M$50:$M$54</c:f>
              <c:numCache>
                <c:formatCode>0%</c:formatCode>
                <c:ptCount val="5"/>
                <c:pt idx="1">
                  <c:v>0.42030205467705289</c:v>
                </c:pt>
                <c:pt idx="2">
                  <c:v>0.26883764891736539</c:v>
                </c:pt>
                <c:pt idx="3">
                  <c:v>0.27724464243367464</c:v>
                </c:pt>
                <c:pt idx="4">
                  <c:v>3.3615653971907099E-2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5081-4972-AEE2-3808A9CB181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gap"/>
    <c:showDLblsOverMax val="0"/>
  </c:chart>
  <c:spPr>
    <a:ln>
      <a:noFill/>
    </a:ln>
  </c:spPr>
  <c:externalData r:id="rId1">
    <c:autoUpdate val="0"/>
  </c:externalData>
  <c:userShapes r:id="rId2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</cdr:x>
      <cdr:y>0.00028</cdr:y>
    </cdr:from>
    <cdr:to>
      <cdr:x>1</cdr:x>
      <cdr:y>0.22876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0" y="371"/>
          <a:ext cx="2048742" cy="30269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marL="0" marR="0" indent="0" algn="ctr" defTabSz="914400" eaLnBrk="1" fontAlgn="auto" latinLnBrk="0" hangingPunct="1">
            <a:lnSpc>
              <a:spcPct val="100000"/>
            </a:lnSpc>
            <a:spcBef>
              <a:spcPts val="0"/>
            </a:spcBef>
            <a:spcAft>
              <a:spcPts val="0"/>
            </a:spcAft>
            <a:buClrTx/>
            <a:buSzTx/>
            <a:buFontTx/>
            <a:buNone/>
            <a:tabLst/>
            <a:defRPr/>
          </a:pPr>
          <a:r>
            <a:rPr lang="ka-GE" sz="900" b="0">
              <a:effectLst/>
              <a:latin typeface="+mn-lt"/>
              <a:ea typeface="+mn-ea"/>
              <a:cs typeface="+mn-cs"/>
            </a:rPr>
            <a:t>სავალუტო   სტრუქტურა</a:t>
          </a:r>
          <a:endParaRPr lang="en-US" sz="900" b="0">
            <a:effectLst/>
          </a:endParaRPr>
        </a:p>
        <a:p xmlns:a="http://schemas.openxmlformats.org/drawingml/2006/main">
          <a:pPr algn="ctr"/>
          <a:endParaRPr lang="en-US" sz="900" b="0"/>
        </a:p>
      </cdr:txBody>
    </cdr:sp>
  </cdr:relSizeAnchor>
</c:userShape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EA409-8122-4A17-ABF2-165913630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2219</Words>
  <Characters>12652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 Shanshiashvili</dc:creator>
  <cp:keywords/>
  <dc:description/>
  <cp:lastModifiedBy>Inga Gurgenidze</cp:lastModifiedBy>
  <cp:revision>5</cp:revision>
  <cp:lastPrinted>2021-09-30T15:57:00Z</cp:lastPrinted>
  <dcterms:created xsi:type="dcterms:W3CDTF">2021-09-30T15:19:00Z</dcterms:created>
  <dcterms:modified xsi:type="dcterms:W3CDTF">2021-09-30T16:09:00Z</dcterms:modified>
</cp:coreProperties>
</file>