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:rsidR="00C50CA0" w:rsidRDefault="00CC46C4" w:rsidP="00C50CA0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B73E97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B73E97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0A1240" w:rsidRPr="003A07F4">
        <w:rPr>
          <w:rFonts w:ascii="Sylfaen" w:hAnsi="Sylfaen"/>
          <w:szCs w:val="21"/>
          <w:shd w:val="clear" w:color="auto" w:fill="FFFFFF"/>
          <w:lang w:val="ka-GE"/>
        </w:rPr>
        <w:t xml:space="preserve">განსაზღვრული </w:t>
      </w:r>
      <w:r w:rsidR="000369D7" w:rsidRPr="003A07F4">
        <w:rPr>
          <w:rFonts w:ascii="Sylfaen" w:hAnsi="Sylfaen"/>
          <w:szCs w:val="21"/>
          <w:shd w:val="clear" w:color="auto" w:fill="FFFFFF"/>
          <w:lang w:val="ka-GE"/>
        </w:rPr>
        <w:t>ლიმიტის</w:t>
      </w:r>
      <w:r w:rsidR="000369D7" w:rsidRPr="000369D7">
        <w:rPr>
          <w:rFonts w:ascii="Sylfaen" w:hAnsi="Sylfaen" w:cs="Sylfaen"/>
          <w:szCs w:val="18"/>
          <w:shd w:val="clear" w:color="auto" w:fill="FFFFFF"/>
          <w:lang w:val="ka-GE"/>
        </w:rPr>
        <w:t xml:space="preserve"> ფარგლებში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>ვალის ნაშთი</w:t>
      </w:r>
      <w:r w:rsid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0369D7" w:rsidRPr="000369D7">
        <w:rPr>
          <w:rFonts w:ascii="Sylfaen" w:hAnsi="Sylfaen" w:cs="Sylfaen"/>
          <w:szCs w:val="21"/>
          <w:shd w:val="clear" w:color="auto" w:fill="FFFFFF"/>
          <w:lang w:val="ka-GE"/>
        </w:rPr>
        <w:t>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</w:t>
      </w:r>
      <w:r w:rsid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ის ჯამი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F2417">
        <w:rPr>
          <w:rFonts w:ascii="Sylfaen" w:hAnsi="Sylfaen" w:cs="Sylfaen"/>
          <w:szCs w:val="21"/>
          <w:shd w:val="clear" w:color="auto" w:fill="FFFFFF"/>
          <w:lang w:val="ka-GE"/>
        </w:rPr>
        <w:t>21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7350CD" w:rsidRPr="00B73E97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1A4349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1A4349">
        <w:rPr>
          <w:rFonts w:ascii="Sylfaen" w:hAnsi="Sylfaen" w:cs="Sylfaen"/>
          <w:szCs w:val="21"/>
          <w:shd w:val="clear" w:color="auto" w:fill="FFFFFF"/>
        </w:rPr>
        <w:t>29</w:t>
      </w:r>
      <w:r w:rsidR="008739E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369D7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C90CBA">
        <w:rPr>
          <w:rFonts w:ascii="Sylfaen" w:hAnsi="Sylfaen" w:cs="Sylfaen"/>
          <w:szCs w:val="21"/>
          <w:shd w:val="clear" w:color="auto" w:fill="FFFFFF"/>
          <w:lang w:val="ka-GE"/>
        </w:rPr>
        <w:t>75</w:t>
      </w:r>
      <w:r w:rsidR="00421440" w:rsidRPr="0042144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90CBA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0369D7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3800EA">
        <w:rPr>
          <w:rFonts w:ascii="Sylfaen" w:hAnsi="Sylfaen" w:cs="Sylfaen"/>
          <w:szCs w:val="21"/>
          <w:shd w:val="clear" w:color="auto" w:fill="FFFFFF"/>
          <w:lang w:val="ka-GE"/>
        </w:rPr>
        <w:t>.</w:t>
      </w:r>
    </w:p>
    <w:p w:rsidR="009B63F3" w:rsidRDefault="003800EA" w:rsidP="00C50CA0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</w:t>
      </w:r>
      <w:r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1A4349">
        <w:rPr>
          <w:rFonts w:ascii="Sylfaen" w:hAnsi="Sylfaen"/>
          <w:szCs w:val="21"/>
          <w:shd w:val="clear" w:color="auto" w:fill="FFFFFF"/>
        </w:rPr>
        <w:t>29</w:t>
      </w:r>
      <w:r w:rsidR="008739E5">
        <w:rPr>
          <w:rFonts w:ascii="Sylfaen" w:hAnsi="Sylfaen"/>
          <w:szCs w:val="21"/>
          <w:shd w:val="clear" w:color="auto" w:fill="FFFFFF"/>
        </w:rPr>
        <w:t xml:space="preserve"> </w:t>
      </w:r>
      <w:r w:rsidR="001A4349">
        <w:rPr>
          <w:rFonts w:ascii="Sylfaen" w:hAnsi="Sylfaen"/>
          <w:szCs w:val="21"/>
          <w:shd w:val="clear" w:color="auto" w:fill="FFFFFF"/>
        </w:rPr>
        <w:t>046</w:t>
      </w:r>
      <w:r w:rsidR="00EF0590">
        <w:rPr>
          <w:rFonts w:ascii="Sylfaen" w:hAnsi="Sylfaen"/>
          <w:szCs w:val="21"/>
          <w:shd w:val="clear" w:color="auto" w:fill="FFFFFF"/>
        </w:rPr>
        <w:t>.</w:t>
      </w:r>
      <w:r w:rsidR="001A4349">
        <w:rPr>
          <w:rFonts w:ascii="Sylfaen" w:hAnsi="Sylfaen"/>
          <w:szCs w:val="21"/>
          <w:shd w:val="clear" w:color="auto" w:fill="FFFFFF"/>
          <w:lang w:val="ka-GE"/>
        </w:rPr>
        <w:t>5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0E1BBD">
        <w:rPr>
          <w:rFonts w:ascii="Sylfaen" w:hAnsi="Sylfaen"/>
          <w:szCs w:val="21"/>
          <w:shd w:val="clear" w:color="auto" w:fill="FFFFFF"/>
          <w:lang w:val="ka-GE"/>
        </w:rPr>
        <w:t>,</w:t>
      </w:r>
      <w:r w:rsidR="0039682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</w:t>
      </w:r>
      <w:r w:rsidR="00C50CA0">
        <w:rPr>
          <w:rFonts w:ascii="Sylfaen" w:hAnsi="Sylfaen"/>
          <w:szCs w:val="21"/>
          <w:shd w:val="clear" w:color="auto" w:fill="FFFFFF"/>
          <w:lang w:val="ka-GE"/>
        </w:rPr>
        <w:t>ებ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ის  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-</w:t>
      </w:r>
      <w:r w:rsidR="001A4349">
        <w:rPr>
          <w:rFonts w:ascii="Sylfaen" w:hAnsi="Sylfaen"/>
          <w:szCs w:val="21"/>
          <w:shd w:val="clear" w:color="auto" w:fill="FFFFFF"/>
          <w:lang w:val="ka-GE"/>
        </w:rPr>
        <w:t>33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.</w:t>
      </w:r>
      <w:r w:rsidR="001A4349">
        <w:rPr>
          <w:rFonts w:ascii="Sylfaen" w:hAnsi="Sylfaen"/>
          <w:szCs w:val="21"/>
          <w:shd w:val="clear" w:color="auto" w:fill="FFFFFF"/>
          <w:lang w:val="ka-GE"/>
        </w:rPr>
        <w:t>3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0369D7">
        <w:rPr>
          <w:rFonts w:ascii="Sylfaen" w:hAnsi="Sylfaen"/>
          <w:szCs w:val="21"/>
          <w:shd w:val="clear" w:color="auto" w:fill="FFFFFF"/>
          <w:lang w:val="ka-GE"/>
        </w:rPr>
        <w:t xml:space="preserve"> და </w:t>
      </w:r>
      <w:r w:rsidR="000369D7" w:rsidRPr="000369D7">
        <w:rPr>
          <w:rFonts w:ascii="Sylfaen" w:hAnsi="Sylfaen"/>
          <w:szCs w:val="21"/>
          <w:shd w:val="clear" w:color="auto" w:fill="FFFFFF"/>
          <w:lang w:val="ka-GE"/>
        </w:rPr>
        <w:t>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</w:t>
      </w:r>
      <w:r w:rsidR="000369D7">
        <w:rPr>
          <w:rFonts w:ascii="Sylfaen" w:hAnsi="Sylfaen"/>
          <w:szCs w:val="21"/>
          <w:shd w:val="clear" w:color="auto" w:fill="FFFFFF"/>
          <w:lang w:val="ka-GE"/>
        </w:rPr>
        <w:t>ა</w:t>
      </w:r>
      <w:r w:rsidR="000369D7" w:rsidRPr="000369D7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0369D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D63FD8">
        <w:rPr>
          <w:rFonts w:ascii="Sylfaen" w:hAnsi="Sylfaen"/>
          <w:szCs w:val="21"/>
          <w:shd w:val="clear" w:color="auto" w:fill="FFFFFF"/>
          <w:lang w:val="ka-GE"/>
        </w:rPr>
        <w:t xml:space="preserve">- </w:t>
      </w:r>
      <w:r w:rsidR="000369D7">
        <w:rPr>
          <w:rFonts w:ascii="Sylfaen" w:hAnsi="Sylfaen"/>
          <w:szCs w:val="21"/>
          <w:shd w:val="clear" w:color="auto" w:fill="FFFFFF"/>
          <w:lang w:val="ka-GE"/>
        </w:rPr>
        <w:t>395.4 მლნ ლარს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</w:p>
    <w:p w:rsidR="00C50CA0" w:rsidRPr="001E1573" w:rsidRDefault="00C50CA0" w:rsidP="00C50CA0">
      <w:pPr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0369D7" w:rsidRPr="000369D7" w:rsidRDefault="000369D7" w:rsidP="00D62E87">
      <w:pPr>
        <w:spacing w:line="240" w:lineRule="auto"/>
        <w:ind w:firstLine="720"/>
        <w:jc w:val="both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0369D7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:rsidR="006F4202" w:rsidRPr="00B73E97" w:rsidRDefault="00D63FD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2021 წლის </w:t>
      </w:r>
      <w:r w:rsidRPr="00D63FD8">
        <w:rPr>
          <w:rFonts w:ascii="Sylfaen" w:hAnsi="Sylfaen"/>
          <w:szCs w:val="21"/>
          <w:shd w:val="clear" w:color="auto" w:fill="FFFFFF"/>
        </w:rPr>
        <w:t xml:space="preserve">31 </w:t>
      </w: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აგვისტოს მდგომარეობით </w:t>
      </w:r>
      <w:r w:rsidR="00DB657D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საგარეო ვალის ნაშთი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 შეადგენს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1A4349">
        <w:rPr>
          <w:rFonts w:ascii="Sylfaen" w:hAnsi="Sylfaen"/>
          <w:szCs w:val="21"/>
          <w:shd w:val="clear" w:color="auto" w:fill="FFFFFF"/>
        </w:rPr>
        <w:t>23</w:t>
      </w:r>
      <w:r w:rsidR="008739E5">
        <w:rPr>
          <w:rFonts w:ascii="Sylfaen" w:hAnsi="Sylfaen"/>
          <w:szCs w:val="21"/>
          <w:shd w:val="clear" w:color="auto" w:fill="FFFFFF"/>
        </w:rPr>
        <w:t xml:space="preserve"> </w:t>
      </w:r>
      <w:r w:rsidR="001A4349">
        <w:rPr>
          <w:rFonts w:ascii="Sylfaen" w:hAnsi="Sylfaen"/>
          <w:szCs w:val="21"/>
          <w:shd w:val="clear" w:color="auto" w:fill="FFFFFF"/>
        </w:rPr>
        <w:t>588</w:t>
      </w:r>
      <w:r w:rsidR="001A4349">
        <w:rPr>
          <w:rFonts w:ascii="Sylfaen" w:hAnsi="Sylfaen"/>
          <w:szCs w:val="21"/>
          <w:shd w:val="clear" w:color="auto" w:fill="FFFFFF"/>
          <w:lang w:val="ka-GE"/>
        </w:rPr>
        <w:t>.7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ლარ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,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რომელიც 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C2FBC" w:rsidRPr="00B73E97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3C2FB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81</w:t>
      </w:r>
      <w:r w:rsidR="006F4202" w:rsidRPr="00B73E97">
        <w:rPr>
          <w:rFonts w:ascii="Sylfaen" w:hAnsi="Sylfaen"/>
          <w:szCs w:val="21"/>
          <w:shd w:val="clear" w:color="auto" w:fill="FFFFFF"/>
        </w:rPr>
        <w:t>%-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2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0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6</w:t>
      </w:r>
      <w:r w:rsidR="00C126E1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1A4349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B73E97">
        <w:rPr>
          <w:rFonts w:ascii="Sylfaen" w:hAnsi="Sylfaen"/>
          <w:szCs w:val="21"/>
          <w:shd w:val="clear" w:color="auto" w:fill="FFFFFF"/>
        </w:rPr>
        <w:t>.</w:t>
      </w:r>
      <w:r w:rsidR="001A4349">
        <w:rPr>
          <w:rFonts w:ascii="Sylfaen" w:hAnsi="Sylfaen"/>
          <w:szCs w:val="21"/>
          <w:shd w:val="clear" w:color="auto" w:fill="FFFFFF"/>
          <w:lang w:val="ka-GE"/>
        </w:rPr>
        <w:t>9</w:t>
      </w:r>
      <w:r w:rsidR="00C126E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1E1573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A4349">
        <w:rPr>
          <w:rFonts w:ascii="Sylfaen" w:hAnsi="Sylfaen" w:cs="Sylfaen"/>
          <w:szCs w:val="21"/>
          <w:shd w:val="clear" w:color="auto" w:fill="FFFFFF"/>
          <w:lang w:val="ka-GE"/>
        </w:rPr>
        <w:t>98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21440" w:rsidRDefault="00322857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B73E97">
        <w:rPr>
          <w:noProof/>
        </w:rPr>
        <w:drawing>
          <wp:anchor distT="0" distB="0" distL="114300" distR="114300" simplePos="0" relativeHeight="251663360" behindDoc="0" locked="0" layoutInCell="1" allowOverlap="1" wp14:anchorId="15468251" wp14:editId="4D022CC6">
            <wp:simplePos x="0" y="0"/>
            <wp:positionH relativeFrom="column">
              <wp:posOffset>487680</wp:posOffset>
            </wp:positionH>
            <wp:positionV relativeFrom="paragraph">
              <wp:posOffset>282575</wp:posOffset>
            </wp:positionV>
            <wp:extent cx="3276600" cy="133350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821" w:rsidRPr="00B73E97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C53C49" wp14:editId="3AA6A472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0CA0" w:rsidRPr="00A33B48" w:rsidRDefault="00C50CA0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C50CA0" w:rsidRPr="001E1573" w:rsidRDefault="00C50CA0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98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C50CA0" w:rsidRPr="00A33B48" w:rsidRDefault="00C50CA0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1E1573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საკონტრაქტო ვადიანობა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6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:rsidR="00C50CA0" w:rsidRPr="00DE4001" w:rsidRDefault="00C50CA0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53C49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C50CA0" w:rsidRPr="00A33B48" w:rsidRDefault="00C50CA0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C50CA0" w:rsidRPr="001E1573" w:rsidRDefault="00C50CA0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98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C50CA0" w:rsidRPr="00A33B48" w:rsidRDefault="00C50CA0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1E1573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საკონტრაქტო ვადიანობა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6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:rsidR="00C50CA0" w:rsidRPr="00DE4001" w:rsidRDefault="00C50CA0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84855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B73E97">
        <w:rPr>
          <w:rFonts w:ascii="Sylfaen" w:hAnsi="Sylfaen"/>
          <w:b/>
          <w:szCs w:val="18"/>
          <w:shd w:val="clear" w:color="auto" w:fill="FFFFFF"/>
          <w:lang w:val="ka-GE"/>
        </w:rPr>
        <w:t>2</w:t>
      </w:r>
      <w:r w:rsidR="001E1573">
        <w:rPr>
          <w:rFonts w:ascii="Sylfaen" w:hAnsi="Sylfaen"/>
          <w:b/>
          <w:szCs w:val="18"/>
          <w:shd w:val="clear" w:color="auto" w:fill="FFFFFF"/>
          <w:lang w:val="ka-GE"/>
        </w:rPr>
        <w:t>1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r w:rsidR="001A4349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EB0EE9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22857" w:rsidRDefault="00322857" w:rsidP="00322857">
      <w:pPr>
        <w:spacing w:line="240" w:lineRule="auto"/>
        <w:ind w:firstLine="720"/>
        <w:jc w:val="both"/>
        <w:rPr>
          <w:rFonts w:ascii="Sylfaen" w:hAnsi="Sylfaen"/>
          <w:lang w:val="ka-GE"/>
        </w:rPr>
      </w:pPr>
    </w:p>
    <w:p w:rsidR="006F4202" w:rsidRPr="00B73E97" w:rsidRDefault="00764192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B73E97">
        <w:rPr>
          <w:rFonts w:ascii="Sylfaen" w:hAnsi="Sylfaen"/>
          <w:lang w:val="ka-GE"/>
        </w:rPr>
        <w:t xml:space="preserve"> </w:t>
      </w:r>
      <w:r w:rsidR="009363B9"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B73E97">
        <w:rPr>
          <w:rFonts w:ascii="Sylfaen" w:hAnsi="Sylfaen" w:cs="Sylfaen"/>
          <w:szCs w:val="21"/>
          <w:shd w:val="clear" w:color="auto" w:fill="FFFFFF"/>
        </w:rPr>
        <w:t>2</w:t>
      </w:r>
      <w:r w:rsidR="00C76853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9363B9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1A4349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A552F9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7447C" w:rsidRPr="00B73E97">
        <w:rPr>
          <w:rFonts w:ascii="Sylfaen" w:hAnsi="Sylfaen" w:cs="Sylfaen"/>
          <w:szCs w:val="21"/>
          <w:shd w:val="clear" w:color="auto" w:fill="FFFFFF"/>
        </w:rPr>
        <w:t>5</w:t>
      </w:r>
      <w:r w:rsidR="00C76853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B73E97">
        <w:rPr>
          <w:rFonts w:ascii="Sylfaen" w:hAnsi="Sylfaen" w:cs="Sylfaen"/>
          <w:szCs w:val="21"/>
          <w:shd w:val="clear" w:color="auto" w:fill="FFFFFF"/>
        </w:rPr>
        <w:t>2</w:t>
      </w:r>
      <w:r w:rsidR="001A4349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:rsidR="00A93CD1" w:rsidRPr="00B73E97" w:rsidRDefault="00C50CA0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5F6D1D" wp14:editId="3BE9E3F4">
            <wp:simplePos x="0" y="0"/>
            <wp:positionH relativeFrom="column">
              <wp:posOffset>693420</wp:posOffset>
            </wp:positionH>
            <wp:positionV relativeFrom="paragraph">
              <wp:posOffset>6350</wp:posOffset>
            </wp:positionV>
            <wp:extent cx="22288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5" y="21308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57">
        <w:rPr>
          <w:noProof/>
        </w:rPr>
        <w:drawing>
          <wp:anchor distT="0" distB="0" distL="114300" distR="114300" simplePos="0" relativeHeight="251664384" behindDoc="1" locked="0" layoutInCell="1" allowOverlap="1" wp14:anchorId="12F46AC9" wp14:editId="45B14A74">
            <wp:simplePos x="0" y="0"/>
            <wp:positionH relativeFrom="column">
              <wp:posOffset>3939540</wp:posOffset>
            </wp:positionH>
            <wp:positionV relativeFrom="paragraph">
              <wp:posOffset>5080</wp:posOffset>
            </wp:positionV>
            <wp:extent cx="181292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35" y="21308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570C98" w:rsidRPr="00B73E97">
        <w:rPr>
          <w:rFonts w:ascii="Sylfaen" w:hAnsi="Sylfaen"/>
          <w:lang w:val="ka-GE"/>
        </w:rPr>
        <w:t xml:space="preserve">  </w:t>
      </w:r>
    </w:p>
    <w:p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73E97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B73E97">
        <w:rPr>
          <w:rFonts w:ascii="Sylfaen" w:hAnsi="Sylfaen"/>
          <w:b/>
          <w:lang w:val="ka-GE"/>
        </w:rPr>
        <w:t>20</w:t>
      </w:r>
      <w:r w:rsidR="00B71865" w:rsidRPr="00B73E97">
        <w:rPr>
          <w:rFonts w:ascii="Sylfaen" w:hAnsi="Sylfaen"/>
          <w:b/>
        </w:rPr>
        <w:t>2</w:t>
      </w:r>
      <w:r w:rsidR="00C76853">
        <w:rPr>
          <w:rFonts w:ascii="Sylfaen" w:hAnsi="Sylfaen"/>
          <w:b/>
          <w:lang w:val="ka-GE"/>
        </w:rPr>
        <w:t>1</w:t>
      </w:r>
      <w:r w:rsidR="00E46C45" w:rsidRPr="00B73E97">
        <w:rPr>
          <w:rFonts w:ascii="Sylfaen" w:hAnsi="Sylfaen"/>
          <w:b/>
          <w:lang w:val="ka-GE"/>
        </w:rPr>
        <w:t xml:space="preserve"> წლის 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1A4349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E46C45" w:rsidRPr="00B73E97">
        <w:rPr>
          <w:rFonts w:ascii="Sylfaen" w:hAnsi="Sylfaen"/>
          <w:b/>
          <w:lang w:val="ka-GE"/>
        </w:rPr>
        <w:t xml:space="preserve"> </w:t>
      </w:r>
      <w:r w:rsidR="00071D1D" w:rsidRPr="00B73E97">
        <w:rPr>
          <w:rFonts w:ascii="Sylfaen" w:hAnsi="Sylfaen"/>
          <w:b/>
          <w:lang w:val="ka-GE"/>
        </w:rPr>
        <w:t>მდგომარეობით</w:t>
      </w:r>
    </w:p>
    <w:tbl>
      <w:tblPr>
        <w:tblW w:w="8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774"/>
        <w:gridCol w:w="1109"/>
        <w:gridCol w:w="1062"/>
        <w:gridCol w:w="1178"/>
        <w:gridCol w:w="896"/>
        <w:gridCol w:w="987"/>
      </w:tblGrid>
      <w:tr w:rsidR="009D253F" w:rsidRPr="009D253F" w:rsidTr="009D253F">
        <w:trPr>
          <w:trHeight w:hRule="exact" w:val="701"/>
          <w:tblHeader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კრედიტორი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კრედიტის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ვალუტა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53F" w:rsidRPr="009D253F" w:rsidRDefault="009D253F" w:rsidP="009D253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ნაშთი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ათასი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აშშ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დოლარი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ნაშთი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ათასი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ლარი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საპროცენტო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E8165B" w:rsidRDefault="009D253F" w:rsidP="009D253F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E8165B">
              <w:rPr>
                <w:rFonts w:ascii="Calibri" w:hAnsi="Calibri" w:cs="Calibri"/>
                <w:b/>
                <w:bCs/>
                <w:sz w:val="12"/>
                <w:szCs w:val="12"/>
              </w:rPr>
              <w:t>საპროცენტო</w:t>
            </w:r>
            <w:proofErr w:type="spellEnd"/>
            <w:r w:rsidRPr="00E8165B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E8165B">
              <w:rPr>
                <w:rFonts w:ascii="Calibri" w:hAnsi="Calibri" w:cs="Calibri"/>
                <w:b/>
                <w:bCs/>
                <w:sz w:val="12"/>
                <w:szCs w:val="12"/>
              </w:rPr>
              <w:t>განაკვეთი</w:t>
            </w:r>
            <w:proofErr w:type="spellEnd"/>
            <w:r w:rsidRPr="00E8165B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E8165B">
              <w:rPr>
                <w:rFonts w:ascii="Calibri" w:hAnsi="Calibri" w:cs="Calibri"/>
                <w:b/>
                <w:bCs/>
                <w:sz w:val="12"/>
                <w:szCs w:val="12"/>
              </w:rPr>
              <w:t>მოცემული</w:t>
            </w:r>
            <w:proofErr w:type="spellEnd"/>
            <w:r w:rsidRPr="00E8165B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E8165B">
              <w:rPr>
                <w:rFonts w:ascii="Calibri" w:hAnsi="Calibri" w:cs="Calibri"/>
                <w:b/>
                <w:bCs/>
                <w:sz w:val="12"/>
                <w:szCs w:val="12"/>
              </w:rPr>
              <w:t>თარიღისათვის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შეწონილი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საპროცენტო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განაკვეთი</w:t>
            </w:r>
            <w:proofErr w:type="spellEnd"/>
          </w:p>
        </w:tc>
      </w:tr>
      <w:tr w:rsidR="009D253F" w:rsidRPr="009D253F" w:rsidTr="009D253F">
        <w:trPr>
          <w:trHeight w:hRule="exact" w:val="294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მთავრობის</w:t>
            </w:r>
            <w:proofErr w:type="spellEnd"/>
            <w:r w:rsidRPr="009D253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9D253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53F" w:rsidRPr="009D253F" w:rsidRDefault="00D26C1A" w:rsidP="00CE433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7,567,741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23,588,650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9D253F" w:rsidRPr="009D253F" w:rsidTr="009D253F">
        <w:trPr>
          <w:trHeight w:hRule="exact" w:val="341"/>
          <w:jc w:val="center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5,495,150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17,128,383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ასოციაცია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>(WB - IDA)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620,295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1,933,460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0.061%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236,245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736,375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0.062%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8,785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27,383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ასოციაცია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>(WB - IBRD)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106,164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330,912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1.39%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0.019%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121,678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379,269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0.51%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90,495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282,074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1,615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154,623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481,960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Libor+VS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0.48%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40,996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127,784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288,823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900,262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0.88%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0.034%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54,755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170,671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0.92%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60,895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189,809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60,042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187,151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28,222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87,967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1.18%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49,045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152,874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1.21%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6,795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21,181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1.24%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374,040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1.25%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0.020%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სოფლის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მეურნეობის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ფონდი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(IFAD)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17,658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55,041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11,030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34,380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3,501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10,912.13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(SDR Libor + IBRD VS)/2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0.71%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17,780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253F" w:rsidRPr="009D253F" w:rsidTr="009D253F">
        <w:trPr>
          <w:trHeight w:hRule="exact" w:val="448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სავალუტო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ფონდი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(IMF EFF,MOF)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209,366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652,593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0.029%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ევროგაერთიანება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D253F">
              <w:rPr>
                <w:rFonts w:ascii="Calibri" w:hAnsi="Calibri" w:cs="Calibr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112,062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349,296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11,796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36,768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15,335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47,798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1.16%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17,694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55,152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1.25%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253F" w:rsidRPr="009D253F" w:rsidTr="009D253F">
        <w:trPr>
          <w:trHeight w:hRule="exact" w:val="493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ევროპის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რეკონსტრუქციის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და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236,840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738,230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>+ 1%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0.029%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აზიის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(ADB)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60,091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187,303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312,247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973,275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0.062%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31,915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99,478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1.60%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218,942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682,444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0.058%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108,879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339,376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0.23%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83,704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260,906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0.32%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201,502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628,082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0.38%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19,807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61,739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136,936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426,831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127,407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397,128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0.21%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50,034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155,955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0.63%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1,779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0.67%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116,888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Libor+FS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65,540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204,287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0.56%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41,667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129,875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0.66%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11,333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35,326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0.70%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66,346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206,800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0.77%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72,720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226,670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0.88%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48,162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150,121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59,252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184,690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0.92%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აზიის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ინფრასტრუქტურის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(AIIB)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42,054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131,081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Libor+VS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9D253F" w:rsidRPr="009D253F" w:rsidTr="009D253F">
        <w:trPr>
          <w:trHeight w:hRule="exact" w:val="3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147,718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460,437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ევროსაბჭოს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(CEB)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6,584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3,315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ევროპის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საინვესტიციო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>(EIB)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100,266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312,528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33,618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104,789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76,674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238,992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13,466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33,443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104,243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60,159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187,517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36,453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113,625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1.69%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23,592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73,536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362,726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1,130,616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61,636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192,119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12,020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37,467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10,411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32,451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37,126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115,722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3,539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11,030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D26C1A">
        <w:trPr>
          <w:trHeight w:hRule="exact" w:val="448"/>
          <w:jc w:val="center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სკანდინავიური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გარემოსდაცვის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საფინანსო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კორპორაცია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(NEFCO) 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2,217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6,911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ორმხრივი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1,571,029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4,896,898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17,757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55,349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4,400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13,715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8,529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26,585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3.13%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3,265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10,177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31,570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98,403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0.017%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4,210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13,121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უზბეკეთი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უკრაინა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5,374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16,750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ჩინეთი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CNY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1,446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გერმანია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13,851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>+ 0.3%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128,576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400,771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>+ 0.72%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106,164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330,912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121,295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378,077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212,327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661,824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0.024%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30,965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96,517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48,645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151,627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21,629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67,417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11,289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35,187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20,643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64,344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0.016%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7,508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23,403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25,816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80,468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131,187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408,910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3,002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1.30%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25,654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79,963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1.40%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15,376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47,927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2.30%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2,506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7,810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19,264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19,499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9,530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16,707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14,020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43,699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224,123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698,592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0.42%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21,334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66,499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10,736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33,463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17,039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53,109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253,613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790,512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+ 0.6%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0.25%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53F" w:rsidRPr="009D253F" w:rsidRDefault="009D253F" w:rsidP="00CE43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18,226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56,812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+ 1.05%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253F" w:rsidRPr="009D253F" w:rsidTr="009D253F">
        <w:trPr>
          <w:trHeight w:hRule="exact" w:val="269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ფასიანი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1,558,500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D253F" w:rsidRPr="009D253F" w:rsidTr="009D253F">
        <w:trPr>
          <w:trHeight w:hRule="exact" w:val="359"/>
          <w:jc w:val="center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7E2AD7" w:rsidRDefault="007E2AD7" w:rsidP="009D253F">
            <w:pPr>
              <w:rPr>
                <w:rFonts w:ascii="Calibri" w:hAnsi="Calibri" w:cs="Calibri"/>
                <w:sz w:val="16"/>
                <w:szCs w:val="16"/>
                <w:lang w:val="ka-GE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ევრო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ka-GE"/>
              </w:rPr>
              <w:t>ბონდი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1,558,500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2.750%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0.182%</w:t>
            </w:r>
          </w:p>
        </w:tc>
      </w:tr>
      <w:tr w:rsidR="009D253F" w:rsidRPr="009D253F" w:rsidTr="009D253F">
        <w:trPr>
          <w:trHeight w:hRule="exact" w:val="368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გარანტირებული</w:t>
            </w:r>
            <w:proofErr w:type="spellEnd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1,562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4,869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D253F" w:rsidRPr="009D253F" w:rsidTr="009D253F">
        <w:trPr>
          <w:trHeight w:hRule="exact" w:val="216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გერმანია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9D253F"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 w:rsidRPr="009D253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1,562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4,869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253F" w:rsidRPr="009D253F" w:rsidTr="009D253F">
        <w:trPr>
          <w:trHeight w:hRule="exact" w:val="323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253F" w:rsidRPr="009D253F" w:rsidRDefault="009D253F" w:rsidP="009D253F">
            <w:pPr>
              <w:rPr>
                <w:rFonts w:ascii="Calibri" w:hAnsi="Calibri" w:cs="Calibri"/>
                <w:sz w:val="16"/>
                <w:szCs w:val="16"/>
              </w:rPr>
            </w:pPr>
            <w:r w:rsidRPr="009D253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9D253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საშუალო</w:t>
            </w:r>
            <w:proofErr w:type="spellEnd"/>
            <w:r w:rsidRPr="009D253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შეწონილი</w:t>
            </w:r>
            <w:proofErr w:type="spellEnd"/>
            <w:r w:rsidRPr="009D253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საპროცენტო</w:t>
            </w:r>
            <w:proofErr w:type="spellEnd"/>
            <w:r w:rsidRPr="009D253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D253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253F" w:rsidRPr="009D253F" w:rsidRDefault="009D253F" w:rsidP="00CE433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253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0.98%</w:t>
            </w:r>
          </w:p>
        </w:tc>
      </w:tr>
    </w:tbl>
    <w:p w:rsidR="002E358C" w:rsidRPr="00B73E97" w:rsidRDefault="002E358C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139F2" w:rsidRPr="00527AC4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A405DB" w:rsidRPr="00527AC4" w:rsidRDefault="000A05E4" w:rsidP="002A0BB1">
      <w:pPr>
        <w:pStyle w:val="Default"/>
        <w:ind w:firstLine="708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527AC4">
        <w:rPr>
          <w:color w:val="auto"/>
          <w:sz w:val="22"/>
          <w:szCs w:val="21"/>
          <w:shd w:val="clear" w:color="auto" w:fill="FFFFFF"/>
          <w:lang w:val="ka-GE"/>
        </w:rPr>
        <w:t>202</w:t>
      </w:r>
      <w:r w:rsidR="00C70518" w:rsidRPr="00527AC4">
        <w:rPr>
          <w:color w:val="auto"/>
          <w:sz w:val="22"/>
          <w:szCs w:val="21"/>
          <w:shd w:val="clear" w:color="auto" w:fill="FFFFFF"/>
          <w:lang w:val="ka-GE"/>
        </w:rPr>
        <w:t>2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წლის სახელმწიფო ბიუჯეტის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</w:t>
      </w:r>
      <w:r w:rsidR="00C70518" w:rsidRPr="00527AC4">
        <w:rPr>
          <w:color w:val="auto"/>
          <w:sz w:val="22"/>
          <w:szCs w:val="21"/>
          <w:shd w:val="clear" w:color="auto" w:fill="FFFFFF"/>
          <w:lang w:val="ka-GE"/>
        </w:rPr>
        <w:t>1 903 770.0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ათასი ლარის ოდენობით. </w:t>
      </w:r>
      <w:r w:rsidR="002A0BB1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ასევე, 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lastRenderedPageBreak/>
        <w:t>ბიუჯეტის მხარდამჭერი რესურსის სახით</w:t>
      </w:r>
      <w:r w:rsidR="00A405DB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თანხების მობილიზებას</w:t>
      </w:r>
      <w:r w:rsidR="00C70518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="00527AC4" w:rsidRPr="00527AC4">
        <w:rPr>
          <w:color w:val="auto"/>
          <w:sz w:val="22"/>
          <w:szCs w:val="21"/>
          <w:shd w:val="clear" w:color="auto" w:fill="FFFFFF"/>
          <w:lang w:val="ka-GE"/>
        </w:rPr>
        <w:t>1</w:t>
      </w:r>
      <w:r w:rsidR="00C70518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="00527AC4" w:rsidRPr="00527AC4">
        <w:rPr>
          <w:color w:val="auto"/>
          <w:sz w:val="22"/>
          <w:szCs w:val="21"/>
          <w:shd w:val="clear" w:color="auto" w:fill="FFFFFF"/>
          <w:lang w:val="ka-GE"/>
        </w:rPr>
        <w:t>2</w:t>
      </w:r>
      <w:r w:rsidR="00C70518" w:rsidRPr="00527AC4">
        <w:rPr>
          <w:color w:val="auto"/>
          <w:sz w:val="22"/>
          <w:szCs w:val="21"/>
          <w:shd w:val="clear" w:color="auto" w:fill="FFFFFF"/>
          <w:lang w:val="ka-GE"/>
        </w:rPr>
        <w:t>00</w:t>
      </w:r>
      <w:r w:rsidR="002A0BB1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000.0 </w:t>
      </w:r>
      <w:r w:rsidR="002D596E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ათასი </w:t>
      </w:r>
      <w:r w:rsidR="002A0BB1" w:rsidRPr="00527AC4">
        <w:rPr>
          <w:color w:val="auto"/>
          <w:sz w:val="22"/>
          <w:szCs w:val="21"/>
          <w:shd w:val="clear" w:color="auto" w:fill="FFFFFF"/>
          <w:lang w:val="ka-GE"/>
        </w:rPr>
        <w:t>ლარის მობილიზებას</w:t>
      </w:r>
      <w:r w:rsidR="00A405DB" w:rsidRPr="00527AC4">
        <w:rPr>
          <w:color w:val="auto"/>
          <w:sz w:val="22"/>
          <w:szCs w:val="21"/>
          <w:shd w:val="clear" w:color="auto" w:fill="FFFFFF"/>
          <w:lang w:val="ka-GE"/>
        </w:rPr>
        <w:t>:</w:t>
      </w:r>
    </w:p>
    <w:p w:rsidR="002D596E" w:rsidRPr="00527AC4" w:rsidRDefault="002D596E" w:rsidP="002A0BB1">
      <w:pPr>
        <w:pStyle w:val="Default"/>
        <w:ind w:firstLine="708"/>
        <w:jc w:val="both"/>
        <w:rPr>
          <w:color w:val="auto"/>
          <w:sz w:val="22"/>
          <w:szCs w:val="21"/>
          <w:shd w:val="clear" w:color="auto" w:fill="FFFFFF"/>
          <w:lang w:val="ka-GE"/>
        </w:rPr>
      </w:pPr>
    </w:p>
    <w:p w:rsidR="00030A9F" w:rsidRPr="00527AC4" w:rsidRDefault="00030A9F" w:rsidP="00527AC4">
      <w:pPr>
        <w:pStyle w:val="Normal22"/>
        <w:numPr>
          <w:ilvl w:val="0"/>
          <w:numId w:val="15"/>
        </w:numPr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527AC4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ფისკალური მდგრადობის და სოციალური დაცვის პროგრამის ფარგლებში აზიის განვითარების ბანკიდან (ADB) მისაღები სახსრები - 318  000.0  ათასი ლარის ოდენობით;   </w:t>
      </w:r>
    </w:p>
    <w:p w:rsidR="00030A9F" w:rsidRPr="00527AC4" w:rsidRDefault="00030A9F" w:rsidP="00527AC4">
      <w:pPr>
        <w:pStyle w:val="Normal22"/>
        <w:numPr>
          <w:ilvl w:val="0"/>
          <w:numId w:val="15"/>
        </w:numPr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527AC4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აზიის განვითარების ბანკიდან (ADB) მისაღები სახსრები - 150  000.0  ათასი ლარის ოდენობით;</w:t>
      </w:r>
    </w:p>
    <w:p w:rsidR="00030A9F" w:rsidRPr="00527AC4" w:rsidRDefault="00030A9F" w:rsidP="00527AC4">
      <w:pPr>
        <w:pStyle w:val="Normal22"/>
        <w:numPr>
          <w:ilvl w:val="0"/>
          <w:numId w:val="15"/>
        </w:numPr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527AC4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კლიმატზე მორგებული ირიგაციის სექტორის განვითარების პროგრამის ფარგლებში აზიის განვითარების ბანკიდან (ADB) მისაღები სახსრები - 190  320.0  ათასი ლარის ოდენობით;</w:t>
      </w:r>
    </w:p>
    <w:p w:rsidR="00030A9F" w:rsidRPr="00527AC4" w:rsidRDefault="00030A9F" w:rsidP="00527AC4">
      <w:pPr>
        <w:pStyle w:val="Normal22"/>
        <w:numPr>
          <w:ilvl w:val="0"/>
          <w:numId w:val="15"/>
        </w:numPr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527AC4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განვითარების პოლიტიკის ღონისძიება-2022 პროგრამის (DPO-2022)  ფარგლებში მსოფლიო ბანკიდან (WB) მისაღები სახსრები - 157 380.0  ათასი ლარის ოდენობით;</w:t>
      </w:r>
    </w:p>
    <w:p w:rsidR="00030A9F" w:rsidRPr="00527AC4" w:rsidRDefault="00030A9F" w:rsidP="00527AC4">
      <w:pPr>
        <w:pStyle w:val="Normal22"/>
        <w:numPr>
          <w:ilvl w:val="0"/>
          <w:numId w:val="15"/>
        </w:numPr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527AC4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სოციალური კეთილდღეობის პროგრამა-IV-ის ფარგლებში საფრანგეთის განვითარების სააგენტოდან (AFD) მისაღები სახსრები – 109 800.0 ათასი ლარის ოდენობით;</w:t>
      </w:r>
    </w:p>
    <w:p w:rsidR="00030A9F" w:rsidRPr="00527AC4" w:rsidRDefault="00030A9F" w:rsidP="00527AC4">
      <w:pPr>
        <w:pStyle w:val="Normal22"/>
        <w:numPr>
          <w:ilvl w:val="0"/>
          <w:numId w:val="15"/>
        </w:numPr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527AC4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საფრანგეთის განვითარების სააგენტოდან (AFD) მისაღები სახსრები - 109 800.0  ათასი ლარის ოდენობით; (ADB-ს II ტრანშის თანადაფინანსება).</w:t>
      </w:r>
    </w:p>
    <w:p w:rsidR="00030A9F" w:rsidRPr="00527AC4" w:rsidRDefault="00030A9F" w:rsidP="00527AC4">
      <w:pPr>
        <w:pStyle w:val="Normal22"/>
        <w:numPr>
          <w:ilvl w:val="0"/>
          <w:numId w:val="15"/>
        </w:numPr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527AC4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საქართველოში ენერგეტიკის სექტორის რეფორმის პროგრამა- V-ის  ფარგლებში საფრანგეთის განვითარების სააგენტოდან (AFD) მისაღები სახსრები – 164 700.0 თასი ლარის ოდენობით; </w:t>
      </w:r>
    </w:p>
    <w:p w:rsidR="002D596E" w:rsidRPr="00754C45" w:rsidRDefault="002D596E" w:rsidP="002D596E">
      <w:pPr>
        <w:pStyle w:val="ListParagraph"/>
        <w:rPr>
          <w:rFonts w:ascii="Sylfaen" w:eastAsia="Sylfaen" w:hAnsi="Sylfaen" w:cs="Sylfaen"/>
          <w:color w:val="000000"/>
          <w:highlight w:val="yellow"/>
          <w:lang w:val="ka-GE"/>
        </w:rPr>
      </w:pPr>
    </w:p>
    <w:p w:rsidR="00C0485E" w:rsidRPr="000F487B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C70518">
        <w:rPr>
          <w:rFonts w:ascii="Sylfaen" w:hAnsi="Sylfaen" w:cs="Sylfaen"/>
          <w:szCs w:val="21"/>
          <w:shd w:val="clear" w:color="auto" w:fill="FFFFFF"/>
        </w:rPr>
        <w:t>2</w:t>
      </w: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პროექტით </w:t>
      </w:r>
      <w:r w:rsidRPr="00C70518">
        <w:rPr>
          <w:rFonts w:ascii="Sylfaen" w:hAnsi="Sylfaen" w:cs="Sylfaen"/>
          <w:szCs w:val="21"/>
          <w:shd w:val="clear" w:color="auto" w:fill="FFFFFF"/>
          <w:lang w:val="ka-GE"/>
        </w:rPr>
        <w:t>გათვალისწინებულია</w:t>
      </w:r>
      <w:r w:rsidRPr="00C70518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C70518">
        <w:rPr>
          <w:rFonts w:ascii="Sylfaen" w:hAnsi="Sylfaen" w:cs="Sylfaen"/>
          <w:szCs w:val="21"/>
          <w:shd w:val="clear" w:color="auto" w:fill="FFFFFF"/>
        </w:rPr>
        <w:t>1</w:t>
      </w:r>
      <w:r w:rsidRPr="00C70518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C70518" w:rsidRPr="00C70518">
        <w:rPr>
          <w:rFonts w:ascii="Sylfaen" w:hAnsi="Sylfaen" w:cs="Sylfaen"/>
          <w:szCs w:val="21"/>
          <w:shd w:val="clear" w:color="auto" w:fill="FFFFFF"/>
        </w:rPr>
        <w:t>440</w:t>
      </w:r>
      <w:r w:rsidRPr="00C70518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C70518">
        <w:rPr>
          <w:rFonts w:ascii="Sylfaen" w:hAnsi="Sylfaen" w:cs="Sylfaen"/>
          <w:szCs w:val="21"/>
          <w:shd w:val="clear" w:color="auto" w:fill="FFFFFF"/>
        </w:rPr>
        <w:t>0</w:t>
      </w:r>
      <w:r w:rsidRPr="00C70518">
        <w:rPr>
          <w:rFonts w:ascii="Sylfaen" w:hAnsi="Sylfaen" w:cs="Sylfaen"/>
          <w:szCs w:val="21"/>
          <w:shd w:val="clear" w:color="auto" w:fill="FFFFFF"/>
        </w:rPr>
        <w:t>00</w:t>
      </w:r>
      <w:r w:rsidR="00C70518" w:rsidRPr="00C70518">
        <w:rPr>
          <w:rFonts w:ascii="Sylfaen" w:hAnsi="Sylfaen" w:cs="Sylfaen"/>
          <w:szCs w:val="21"/>
          <w:shd w:val="clear" w:color="auto" w:fill="FFFFFF"/>
          <w:lang w:val="ka-GE"/>
        </w:rPr>
        <w:t>.0</w:t>
      </w:r>
      <w:r w:rsidRPr="00C70518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</w:t>
      </w:r>
      <w:proofErr w:type="spellStart"/>
      <w:r w:rsidRPr="00041224">
        <w:rPr>
          <w:rFonts w:ascii="Sylfaen" w:hAnsi="Sylfaen" w:cs="Sylfaen"/>
          <w:szCs w:val="21"/>
          <w:shd w:val="clear" w:color="auto" w:fill="FFFFFF"/>
        </w:rPr>
        <w:t>საიდანაც</w:t>
      </w:r>
      <w:proofErr w:type="spellEnd"/>
      <w:r w:rsidRPr="00041224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041224">
        <w:rPr>
          <w:rFonts w:ascii="Sylfaen" w:hAnsi="Sylfaen" w:cs="Sylfaen"/>
          <w:szCs w:val="21"/>
          <w:shd w:val="clear" w:color="auto" w:fill="FFFFFF"/>
        </w:rPr>
        <w:t>1 190 000.0</w:t>
      </w:r>
      <w:r w:rsidR="00C70518" w:rsidRPr="00C70518">
        <w:rPr>
          <w:szCs w:val="24"/>
        </w:rPr>
        <w:t xml:space="preserve"> </w:t>
      </w:r>
      <w:r w:rsidRPr="00C70518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proofErr w:type="spellStart"/>
      <w:r w:rsidRPr="00041224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Pr="00041224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041224">
        <w:rPr>
          <w:rFonts w:ascii="Sylfaen" w:hAnsi="Sylfaen" w:cs="Sylfaen"/>
          <w:szCs w:val="21"/>
          <w:shd w:val="clear" w:color="auto" w:fill="FFFFFF"/>
        </w:rPr>
        <w:t xml:space="preserve">250 000.0 </w:t>
      </w:r>
      <w:proofErr w:type="spellStart"/>
      <w:r w:rsidRPr="00041224">
        <w:rPr>
          <w:rFonts w:ascii="Sylfaen" w:hAnsi="Sylfaen" w:cs="Sylfaen"/>
          <w:szCs w:val="21"/>
          <w:shd w:val="clear" w:color="auto" w:fill="FFFFFF"/>
        </w:rPr>
        <w:t>ათასი</w:t>
      </w:r>
      <w:proofErr w:type="spellEnd"/>
      <w:r w:rsidRPr="00C70518">
        <w:rPr>
          <w:rFonts w:ascii="Sylfaen" w:hAnsi="Sylfaen" w:cs="Sylfaen"/>
          <w:szCs w:val="21"/>
          <w:shd w:val="clear" w:color="auto" w:fill="FFFFFF"/>
          <w:lang w:val="ka-GE"/>
        </w:rPr>
        <w:t xml:space="preserve"> ლარი - პროცენტის თანხას.</w:t>
      </w:r>
    </w:p>
    <w:p w:rsidR="00A67E3A" w:rsidRPr="000F487B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0F487B">
        <w:rPr>
          <w:rFonts w:ascii="Sylfaen" w:hAnsi="Sylfaen"/>
          <w:b/>
          <w:sz w:val="20"/>
          <w:szCs w:val="20"/>
          <w:lang w:val="ka-GE"/>
        </w:rPr>
        <w:t>202</w:t>
      </w:r>
      <w:r w:rsidR="00C70518">
        <w:rPr>
          <w:rFonts w:ascii="Sylfaen" w:hAnsi="Sylfaen"/>
          <w:b/>
          <w:sz w:val="20"/>
          <w:szCs w:val="20"/>
        </w:rPr>
        <w:t>2</w:t>
      </w:r>
      <w:r w:rsidR="006D20E2" w:rsidRPr="000F487B">
        <w:rPr>
          <w:rFonts w:ascii="Sylfaen" w:hAnsi="Sylfaen"/>
          <w:b/>
          <w:sz w:val="20"/>
          <w:szCs w:val="20"/>
        </w:rPr>
        <w:t xml:space="preserve"> </w:t>
      </w:r>
      <w:r w:rsidRPr="000F487B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:rsidR="00FB01F8" w:rsidRDefault="00FB01F8" w:rsidP="00A62747">
      <w:pPr>
        <w:tabs>
          <w:tab w:val="left" w:pos="0"/>
        </w:tabs>
        <w:spacing w:after="0" w:line="240" w:lineRule="auto"/>
        <w:ind w:right="1593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F487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6293" w:type="dxa"/>
        <w:jc w:val="center"/>
        <w:tblLook w:val="04A0" w:firstRow="1" w:lastRow="0" w:firstColumn="1" w:lastColumn="0" w:noHBand="0" w:noVBand="1"/>
      </w:tblPr>
      <w:tblGrid>
        <w:gridCol w:w="3145"/>
        <w:gridCol w:w="980"/>
        <w:gridCol w:w="1427"/>
        <w:gridCol w:w="1485"/>
      </w:tblGrid>
      <w:tr w:rsidR="00DC574F" w:rsidRPr="00B8692A" w:rsidTr="00DC574F">
        <w:trPr>
          <w:trHeight w:hRule="exact" w:val="484"/>
          <w:tblHeader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b/>
                <w:bCs/>
                <w:sz w:val="18"/>
                <w:szCs w:val="18"/>
              </w:rPr>
              <w:t>ვალების</w:t>
            </w:r>
            <w:proofErr w:type="spellEnd"/>
            <w:r w:rsidRPr="00B8692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692A">
              <w:rPr>
                <w:rFonts w:eastAsia="Times New Roman" w:cstheme="minorHAnsi"/>
                <w:b/>
                <w:bCs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b/>
                <w:bCs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b/>
                <w:bCs/>
                <w:sz w:val="18"/>
                <w:szCs w:val="18"/>
              </w:rPr>
              <w:t>სულ</w:t>
            </w:r>
            <w:proofErr w:type="spellEnd"/>
            <w:r w:rsidRPr="00B8692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2022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8692A">
              <w:rPr>
                <w:rFonts w:eastAsia="Times New Roman" w:cstheme="minorHAnsi"/>
                <w:b/>
                <w:bCs/>
                <w:sz w:val="18"/>
                <w:szCs w:val="18"/>
              </w:rPr>
              <w:t>1,190,000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8692A">
              <w:rPr>
                <w:rFonts w:eastAsia="Times New Roman" w:cstheme="minorHAnsi"/>
                <w:b/>
                <w:bCs/>
                <w:sz w:val="18"/>
                <w:szCs w:val="18"/>
              </w:rPr>
              <w:t>250,000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8692A">
              <w:rPr>
                <w:rFonts w:eastAsia="Times New Roman" w:cstheme="minorHAnsi"/>
                <w:b/>
                <w:bCs/>
                <w:sz w:val="18"/>
                <w:szCs w:val="18"/>
              </w:rPr>
              <w:t>1,440,000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5,000.0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540.0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5,540.0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2,900.0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1,130.0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4,030.0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28,000.0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5,550.0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33,550.0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203,000.0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23,350.0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226,350.0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8,000.0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920.0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8,920.0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3,000.0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330.0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3,330.0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4,000.0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370.0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4,370.0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2,300.0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270.0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2,570.0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3,300.0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550.0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3,850.0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110.0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20,800.0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3,500.0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24,300.0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6,000.0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810.0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6,810.0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74,000.0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8,420.0</w:t>
            </w:r>
          </w:p>
        </w:tc>
        <w:tc>
          <w:tcPr>
            <w:tcW w:w="14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82,420.0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1,500.0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1,500.0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12,800.0</w:t>
            </w:r>
          </w:p>
        </w:tc>
        <w:tc>
          <w:tcPr>
            <w:tcW w:w="14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12,800.0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IDA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325,000.0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24,970.0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349,970.0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IBRD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50,900.0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40,670.0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91,570.0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IFAD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7,510.0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1,430.0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8,940.0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EBRD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71,840.0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12,420.0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84,260.0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EIB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46,900.0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11,840.0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58,740.0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ADB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324,950.0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44,720.0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369,670.0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IMF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7,030.0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7,030.0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lastRenderedPageBreak/>
              <w:t>EU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2,320.0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2,320.0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CEB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170.0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170.0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AIIB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1,720.0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1,720.0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NEFCO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1,000.0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160.0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1,160.0</w:t>
            </w:r>
          </w:p>
        </w:tc>
      </w:tr>
      <w:tr w:rsidR="00DC574F" w:rsidRPr="00B8692A" w:rsidTr="00DC574F">
        <w:trPr>
          <w:trHeight w:hRule="exact" w:val="288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8692A">
              <w:rPr>
                <w:rFonts w:eastAsia="Times New Roman" w:cstheme="minorHAnsi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44,000.0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F" w:rsidRPr="00B8692A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692A">
              <w:rPr>
                <w:rFonts w:eastAsia="Times New Roman" w:cstheme="minorHAnsi"/>
                <w:sz w:val="18"/>
                <w:szCs w:val="18"/>
              </w:rPr>
              <w:t>44,000.0</w:t>
            </w:r>
          </w:p>
        </w:tc>
      </w:tr>
    </w:tbl>
    <w:p w:rsidR="009A5FAB" w:rsidRDefault="009A5FAB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p w:rsidR="009A5FAB" w:rsidRDefault="009A5FA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0A1240" w:rsidRPr="000A1240" w:rsidRDefault="003C2FBC" w:rsidP="003C2FBC">
      <w:pPr>
        <w:spacing w:line="240" w:lineRule="auto"/>
        <w:ind w:firstLine="720"/>
        <w:jc w:val="both"/>
        <w:rPr>
          <w:rFonts w:ascii="Sylfaen" w:hAnsi="Sylfaen" w:cs="Sylfaen"/>
          <w:b/>
          <w:szCs w:val="21"/>
          <w:shd w:val="clear" w:color="auto" w:fill="FFFFFF"/>
        </w:rPr>
      </w:pPr>
      <w:r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 საშინაო ვალი</w:t>
      </w:r>
      <w:r w:rsidR="0096735A" w:rsidRPr="000A1240">
        <w:rPr>
          <w:rFonts w:ascii="Sylfaen" w:hAnsi="Sylfaen" w:cs="Sylfaen"/>
          <w:b/>
          <w:szCs w:val="21"/>
          <w:shd w:val="clear" w:color="auto" w:fill="FFFFFF"/>
        </w:rPr>
        <w:tab/>
      </w:r>
    </w:p>
    <w:p w:rsidR="00396821" w:rsidRPr="000F487B" w:rsidRDefault="00E2344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FA735A">
        <w:rPr>
          <w:rFonts w:ascii="Sylfaen" w:hAnsi="Sylfaen" w:cs="Sylfaen"/>
          <w:szCs w:val="21"/>
          <w:shd w:val="clear" w:color="auto" w:fill="FFFFFF"/>
          <w:lang w:val="ka-GE"/>
        </w:rPr>
        <w:t xml:space="preserve">2021 წლის განმავლობაში 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202</w:t>
      </w:r>
      <w:r w:rsidR="009D05FD" w:rsidRPr="000F487B">
        <w:rPr>
          <w:rFonts w:ascii="Sylfaen" w:hAnsi="Sylfaen" w:cs="Sylfaen"/>
          <w:szCs w:val="21"/>
          <w:shd w:val="clear" w:color="auto" w:fill="FFFFFF"/>
        </w:rPr>
        <w:t>1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</w:t>
      </w:r>
      <w:r w:rsidR="007350CD" w:rsidRPr="000F487B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9.4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9.2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7350CD" w:rsidRPr="000F487B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.</w:t>
      </w:r>
      <w:r w:rsidR="00C70518">
        <w:rPr>
          <w:rFonts w:ascii="Sylfaen" w:hAnsi="Sylfaen" w:cs="Sylfaen"/>
          <w:szCs w:val="21"/>
          <w:shd w:val="clear" w:color="auto" w:fill="FFFFFF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- 9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C518D" w:rsidRPr="000F487B">
        <w:rPr>
          <w:rFonts w:ascii="Sylfaen" w:hAnsi="Sylfaen" w:cs="Sylfaen"/>
          <w:szCs w:val="21"/>
          <w:shd w:val="clear" w:color="auto" w:fill="FFFFFF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396821" w:rsidRPr="00D63FD8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0F487B">
        <w:rPr>
          <w:rFonts w:ascii="Sylfaen" w:hAnsi="Sylfaen" w:cs="Sylfaen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="009D05FD" w:rsidRPr="000F487B">
        <w:rPr>
          <w:rFonts w:ascii="Sylfaen" w:hAnsi="Sylfaen" w:cs="Sylfaen"/>
          <w:shd w:val="clear" w:color="auto" w:fill="FFFFFF"/>
          <w:lang w:val="ka-GE"/>
        </w:rPr>
        <w:t>1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7350CD" w:rsidRPr="000F487B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Pr="003A07F4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შეადგინა </w:t>
      </w:r>
      <w:r w:rsidR="003150E3" w:rsidRPr="003A07F4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8739E5" w:rsidRPr="003A07F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180F87" w:rsidRPr="003A07F4">
        <w:rPr>
          <w:rFonts w:ascii="Sylfaen" w:hAnsi="Sylfaen" w:cs="Sylfaen"/>
          <w:szCs w:val="21"/>
          <w:shd w:val="clear" w:color="auto" w:fill="FFFFFF"/>
          <w:lang w:val="ka-GE"/>
        </w:rPr>
        <w:t>491</w:t>
      </w:r>
      <w:r w:rsidR="009E10CF" w:rsidRPr="003A07F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80F87" w:rsidRPr="003A07F4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Pr="003A07F4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- </w:t>
      </w:r>
      <w:r w:rsidR="008739E5" w:rsidRPr="003A07F4">
        <w:rPr>
          <w:rFonts w:ascii="Sylfaen" w:hAnsi="Sylfaen" w:cs="Sylfaen"/>
          <w:szCs w:val="21"/>
          <w:shd w:val="clear" w:color="auto" w:fill="FFFFFF"/>
          <w:lang w:val="ka-GE"/>
        </w:rPr>
        <w:t xml:space="preserve">5 </w:t>
      </w:r>
      <w:r w:rsidR="00180F87" w:rsidRPr="003A07F4">
        <w:rPr>
          <w:rFonts w:ascii="Sylfaen" w:hAnsi="Sylfaen" w:cs="Sylfaen"/>
          <w:szCs w:val="21"/>
          <w:shd w:val="clear" w:color="auto" w:fill="FFFFFF"/>
          <w:lang w:val="ka-GE"/>
        </w:rPr>
        <w:t>446</w:t>
      </w:r>
      <w:r w:rsidR="003150E3" w:rsidRPr="003A07F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80F87" w:rsidRPr="003A07F4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Pr="003A07F4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ლარი და საბიუჯეტო ორგანიზაციების სესხის სახით არსებულ ნაშთი - </w:t>
      </w:r>
      <w:r w:rsidR="00180F87" w:rsidRPr="003A07F4">
        <w:rPr>
          <w:rFonts w:ascii="Sylfaen" w:hAnsi="Sylfaen" w:cs="Sylfaen"/>
          <w:szCs w:val="21"/>
          <w:shd w:val="clear" w:color="auto" w:fill="FFFFFF"/>
          <w:lang w:val="ka-GE"/>
        </w:rPr>
        <w:t>33.3</w:t>
      </w:r>
      <w:r w:rsidRPr="003A07F4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ლარი), აქედან </w:t>
      </w:r>
      <w:r w:rsidR="003150E3" w:rsidRPr="003A07F4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8739E5" w:rsidRPr="003A07F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180F87" w:rsidRPr="003A07F4">
        <w:rPr>
          <w:rFonts w:ascii="Sylfaen" w:hAnsi="Sylfaen" w:cs="Sylfaen"/>
          <w:szCs w:val="21"/>
          <w:shd w:val="clear" w:color="auto" w:fill="FFFFFF"/>
          <w:lang w:val="ka-GE"/>
        </w:rPr>
        <w:t>127</w:t>
      </w:r>
      <w:r w:rsidR="003150E3" w:rsidRPr="003A07F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80F87" w:rsidRPr="003A07F4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Pr="003A07F4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180F87" w:rsidRPr="003A07F4">
        <w:rPr>
          <w:rFonts w:ascii="Sylfaen" w:hAnsi="Sylfaen" w:cs="Sylfaen"/>
          <w:szCs w:val="21"/>
          <w:shd w:val="clear" w:color="auto" w:fill="FFFFFF"/>
          <w:lang w:val="ka-GE"/>
        </w:rPr>
        <w:t>330</w:t>
      </w:r>
      <w:r w:rsidRPr="003A07F4">
        <w:rPr>
          <w:rFonts w:ascii="Sylfaen" w:hAnsi="Sylfaen" w:cs="Sylfaen"/>
          <w:szCs w:val="21"/>
          <w:shd w:val="clear" w:color="auto" w:fill="FFFFFF"/>
          <w:lang w:val="ka-GE"/>
        </w:rPr>
        <w:t>.8 მლნ ლარი - „ობლიგაცია სებ-სთვის და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ღია ბაზრის ოპერაციებისათვის“ ნაწილში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180F87" w:rsidRPr="00D63FD8">
        <w:rPr>
          <w:rFonts w:ascii="Sylfaen" w:hAnsi="Sylfaen"/>
          <w:color w:val="000000" w:themeColor="text1"/>
          <w:szCs w:val="21"/>
          <w:shd w:val="clear" w:color="auto" w:fill="FFFFFF"/>
          <w:lang w:val="ka-GE"/>
        </w:rPr>
        <w:t>33</w:t>
      </w:r>
      <w:r w:rsidR="00B4541C" w:rsidRPr="00D63FD8">
        <w:rPr>
          <w:rFonts w:ascii="Sylfaen" w:hAnsi="Sylfaen"/>
          <w:color w:val="000000" w:themeColor="text1"/>
          <w:szCs w:val="21"/>
          <w:shd w:val="clear" w:color="auto" w:fill="FFFFFF"/>
          <w:lang w:val="ka-GE"/>
        </w:rPr>
        <w:t>.</w:t>
      </w:r>
      <w:r w:rsidR="00180F87" w:rsidRPr="00D63FD8">
        <w:rPr>
          <w:rFonts w:ascii="Sylfaen" w:hAnsi="Sylfaen"/>
          <w:color w:val="000000" w:themeColor="text1"/>
          <w:szCs w:val="21"/>
          <w:shd w:val="clear" w:color="auto" w:fill="FFFFFF"/>
          <w:lang w:val="ka-GE"/>
        </w:rPr>
        <w:t>3</w:t>
      </w:r>
      <w:r w:rsidRPr="00D63FD8">
        <w:rPr>
          <w:rFonts w:ascii="Sylfaen" w:hAnsi="Sylfaen"/>
          <w:color w:val="000000" w:themeColor="text1"/>
          <w:szCs w:val="21"/>
          <w:shd w:val="clear" w:color="auto" w:fill="FFFFFF"/>
          <w:lang w:val="ka-GE"/>
        </w:rPr>
        <w:t xml:space="preserve"> მლნ ლარი.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 </w:t>
      </w:r>
    </w:p>
    <w:p w:rsidR="00396821" w:rsidRPr="000F487B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D82730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1</w:t>
      </w:r>
      <w:r w:rsidR="00396821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3150E3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31</w:t>
      </w:r>
      <w:r w:rsidR="00396821" w:rsidRPr="000F487B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 w:rsidR="00180F8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აგვისტოს</w:t>
      </w:r>
      <w:r w:rsidR="00396821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მდგომარეობით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73E97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0F487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0F487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0F487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</w:t>
      </w: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რი</w:t>
      </w:r>
    </w:p>
    <w:tbl>
      <w:tblPr>
        <w:tblStyle w:val="TableGrid"/>
        <w:tblW w:w="48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2456"/>
      </w:tblGrid>
      <w:tr w:rsidR="009E10CF" w:rsidRPr="009A5FAB" w:rsidTr="0058522A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:rsidR="009E10CF" w:rsidRPr="009A5FAB" w:rsidRDefault="009E10CF" w:rsidP="009E10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9E10CF" w:rsidP="00180F8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5,</w:t>
            </w:r>
            <w:r w:rsidR="00180F87" w:rsidRPr="00180F87">
              <w:rPr>
                <w:rFonts w:ascii="Arial" w:hAnsi="Arial" w:cs="Arial"/>
                <w:b/>
                <w:bCs/>
                <w:sz w:val="18"/>
                <w:szCs w:val="18"/>
              </w:rPr>
              <w:t>480</w:t>
            </w: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180F87" w:rsidRPr="00180F87">
              <w:rPr>
                <w:rFonts w:ascii="Arial" w:hAnsi="Arial" w:cs="Arial"/>
                <w:b/>
                <w:bCs/>
                <w:sz w:val="18"/>
                <w:szCs w:val="18"/>
              </w:rPr>
              <w:t>039</w:t>
            </w: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180F8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9A5FAB" w:rsidRDefault="009E10CF" w:rsidP="009E10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proofErr w:type="spellEnd"/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  <w:vAlign w:val="center"/>
            <w:hideMark/>
          </w:tcPr>
          <w:p w:rsidR="009E10CF" w:rsidRPr="009A5FAB" w:rsidRDefault="009E10CF" w:rsidP="00180F87">
            <w:pPr>
              <w:ind w:right="45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5,</w:t>
            </w:r>
            <w:r w:rsidR="00180F87" w:rsidRPr="00180F87"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180F87">
              <w:rPr>
                <w:rFonts w:ascii="Arial" w:hAnsi="Arial" w:cs="Arial"/>
                <w:b/>
                <w:bCs/>
                <w:sz w:val="18"/>
                <w:szCs w:val="18"/>
              </w:rPr>
              <w:t>907</w:t>
            </w: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proofErr w:type="spellEnd"/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proofErr w:type="spellEnd"/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proofErr w:type="spellEnd"/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266" w:type="pct"/>
            <w:vAlign w:val="center"/>
          </w:tcPr>
          <w:p w:rsidR="009E10CF" w:rsidRPr="00180F87" w:rsidRDefault="00180F87" w:rsidP="009C518D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>
              <w:rPr>
                <w:rFonts w:ascii="Arial" w:hAnsi="Arial" w:cs="Arial"/>
                <w:sz w:val="18"/>
                <w:szCs w:val="18"/>
                <w:lang w:val="ka-GE"/>
              </w:rPr>
              <w:t>7</w:t>
            </w:r>
            <w:r w:rsidR="00D82730" w:rsidRPr="009A5FAB">
              <w:rPr>
                <w:rFonts w:ascii="Arial" w:hAnsi="Arial" w:cs="Arial"/>
                <w:sz w:val="18"/>
                <w:szCs w:val="18"/>
                <w:lang w:val="ka-GE"/>
              </w:rPr>
              <w:t>5</w:t>
            </w:r>
            <w:r w:rsidR="009E10CF" w:rsidRPr="00180F87">
              <w:rPr>
                <w:rFonts w:ascii="Arial" w:hAnsi="Arial" w:cs="Arial"/>
                <w:sz w:val="18"/>
                <w:szCs w:val="18"/>
                <w:lang w:val="ka-GE"/>
              </w:rPr>
              <w:t>,</w:t>
            </w:r>
            <w:r w:rsidR="009C518D" w:rsidRPr="00180F87">
              <w:rPr>
                <w:rFonts w:ascii="Arial" w:hAnsi="Arial" w:cs="Arial"/>
                <w:sz w:val="18"/>
                <w:szCs w:val="18"/>
                <w:lang w:val="ka-GE"/>
              </w:rPr>
              <w:t>000</w:t>
            </w:r>
            <w:r w:rsidR="009E10CF" w:rsidRPr="00180F87">
              <w:rPr>
                <w:rFonts w:ascii="Arial" w:hAnsi="Arial" w:cs="Arial"/>
                <w:sz w:val="18"/>
                <w:szCs w:val="18"/>
                <w:lang w:val="ka-GE"/>
              </w:rPr>
              <w:t>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180F87" w:rsidP="009C518D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180F87">
              <w:rPr>
                <w:rFonts w:ascii="Arial" w:hAnsi="Arial" w:cs="Arial"/>
                <w:sz w:val="18"/>
                <w:szCs w:val="18"/>
                <w:lang w:val="ka-GE"/>
              </w:rPr>
              <w:t>290</w:t>
            </w:r>
            <w:r w:rsidR="009E10CF" w:rsidRPr="009A5FAB">
              <w:rPr>
                <w:rFonts w:ascii="Arial" w:hAnsi="Arial" w:cs="Arial"/>
                <w:sz w:val="18"/>
                <w:szCs w:val="18"/>
                <w:lang w:val="ka-GE"/>
              </w:rPr>
              <w:t>,</w:t>
            </w:r>
            <w:r w:rsidR="009C518D" w:rsidRPr="009A5FAB">
              <w:rPr>
                <w:rFonts w:ascii="Arial" w:hAnsi="Arial" w:cs="Arial"/>
                <w:sz w:val="18"/>
                <w:szCs w:val="18"/>
                <w:lang w:val="ka-GE"/>
              </w:rPr>
              <w:t>000</w:t>
            </w:r>
            <w:r w:rsidR="009E10CF" w:rsidRPr="009A5FAB">
              <w:rPr>
                <w:rFonts w:ascii="Arial" w:hAnsi="Arial" w:cs="Arial"/>
                <w:sz w:val="18"/>
                <w:szCs w:val="18"/>
                <w:lang w:val="ka-GE"/>
              </w:rPr>
              <w:t>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180F87" w:rsidP="00D82730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180F87">
              <w:rPr>
                <w:rFonts w:ascii="Arial" w:hAnsi="Arial" w:cs="Arial"/>
                <w:sz w:val="18"/>
                <w:szCs w:val="18"/>
                <w:lang w:val="ka-GE"/>
              </w:rPr>
              <w:t>960</w:t>
            </w:r>
            <w:r w:rsidR="009E10CF" w:rsidRPr="009A5FAB">
              <w:rPr>
                <w:rFonts w:ascii="Arial" w:hAnsi="Arial" w:cs="Arial"/>
                <w:sz w:val="18"/>
                <w:szCs w:val="18"/>
                <w:lang w:val="ka-GE"/>
              </w:rPr>
              <w:t>,0</w:t>
            </w:r>
            <w:r w:rsidR="008739E5" w:rsidRPr="009A5FAB">
              <w:rPr>
                <w:rFonts w:ascii="Arial" w:hAnsi="Arial" w:cs="Arial"/>
                <w:sz w:val="18"/>
                <w:szCs w:val="18"/>
                <w:lang w:val="ka-GE"/>
              </w:rPr>
              <w:t>00</w:t>
            </w:r>
            <w:r w:rsidR="009E10CF" w:rsidRPr="009A5FAB">
              <w:rPr>
                <w:rFonts w:ascii="Arial" w:hAnsi="Arial" w:cs="Arial"/>
                <w:sz w:val="18"/>
                <w:szCs w:val="18"/>
                <w:lang w:val="ka-GE"/>
              </w:rPr>
              <w:t>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9E10CF" w:rsidP="00180F87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2,</w:t>
            </w:r>
            <w:r w:rsidR="00180F87" w:rsidRPr="00180F87">
              <w:rPr>
                <w:rFonts w:ascii="Arial" w:hAnsi="Arial" w:cs="Arial"/>
                <w:sz w:val="18"/>
                <w:szCs w:val="18"/>
                <w:lang w:val="ka-GE"/>
              </w:rPr>
              <w:t>485</w:t>
            </w: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,</w:t>
            </w:r>
            <w:r w:rsidR="00180F87" w:rsidRPr="00180F87">
              <w:rPr>
                <w:rFonts w:ascii="Arial" w:hAnsi="Arial" w:cs="Arial"/>
                <w:sz w:val="18"/>
                <w:szCs w:val="18"/>
                <w:lang w:val="ka-GE"/>
              </w:rPr>
              <w:t>339</w:t>
            </w: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.0</w:t>
            </w:r>
          </w:p>
        </w:tc>
      </w:tr>
      <w:tr w:rsidR="009E10CF" w:rsidRPr="009A5FAB" w:rsidTr="00180F87">
        <w:trPr>
          <w:trHeight w:val="353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9E10CF" w:rsidP="00180F87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1,</w:t>
            </w:r>
            <w:r w:rsidR="00180F87" w:rsidRPr="00180F87">
              <w:rPr>
                <w:rFonts w:ascii="Arial" w:hAnsi="Arial" w:cs="Arial"/>
                <w:sz w:val="18"/>
                <w:szCs w:val="18"/>
                <w:lang w:val="ka-GE"/>
              </w:rPr>
              <w:t>305</w:t>
            </w: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,</w:t>
            </w:r>
            <w:r w:rsidR="00D82730" w:rsidRPr="009A5FAB">
              <w:rPr>
                <w:rFonts w:ascii="Arial" w:hAnsi="Arial" w:cs="Arial"/>
                <w:sz w:val="18"/>
                <w:szCs w:val="18"/>
                <w:lang w:val="ka-GE"/>
              </w:rPr>
              <w:t>568</w:t>
            </w: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9A5FAB" w:rsidRDefault="009E10CF" w:rsidP="009E10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proofErr w:type="spellEnd"/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  <w:vAlign w:val="center"/>
          </w:tcPr>
          <w:p w:rsidR="009E10CF" w:rsidRPr="009A5FAB" w:rsidRDefault="00180F87" w:rsidP="00D82730">
            <w:pPr>
              <w:ind w:right="45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0F87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  <w:r w:rsidR="008739E5"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,846.0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180F87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D82730" w:rsidP="009E10CF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160</w:t>
            </w:r>
            <w:r w:rsidR="008739E5" w:rsidRPr="009A5FAB">
              <w:rPr>
                <w:rFonts w:ascii="Arial" w:hAnsi="Arial" w:cs="Arial"/>
                <w:sz w:val="18"/>
                <w:szCs w:val="18"/>
                <w:lang w:val="ka-GE"/>
              </w:rPr>
              <w:t>,846.0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180F87" w:rsidP="009E10CF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180F87">
              <w:rPr>
                <w:rFonts w:ascii="Arial" w:hAnsi="Arial" w:cs="Arial"/>
                <w:sz w:val="18"/>
                <w:szCs w:val="18"/>
                <w:lang w:val="ka-GE"/>
              </w:rPr>
              <w:t>170</w:t>
            </w:r>
            <w:r w:rsidR="008739E5" w:rsidRPr="009A5FAB">
              <w:rPr>
                <w:rFonts w:ascii="Arial" w:hAnsi="Arial" w:cs="Arial"/>
                <w:sz w:val="18"/>
                <w:szCs w:val="18"/>
                <w:lang w:val="ka-GE"/>
              </w:rPr>
              <w:t>,000.0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vAlign w:val="center"/>
          </w:tcPr>
          <w:p w:rsidR="009E10CF" w:rsidRPr="009A5FAB" w:rsidRDefault="009E10CF" w:rsidP="009E10CF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ორგანიზაციების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სესხის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სახით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არსებულ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ნაშ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266" w:type="pct"/>
            <w:vAlign w:val="center"/>
          </w:tcPr>
          <w:p w:rsidR="009E10CF" w:rsidRPr="009A5FAB" w:rsidRDefault="00180F87" w:rsidP="00180F87">
            <w:pPr>
              <w:ind w:right="45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D82730"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180F87">
              <w:rPr>
                <w:rFonts w:ascii="Arial" w:hAnsi="Arial" w:cs="Arial"/>
                <w:b/>
                <w:bCs/>
                <w:sz w:val="18"/>
                <w:szCs w:val="18"/>
              </w:rPr>
              <w:t>286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</w:t>
            </w:r>
          </w:p>
        </w:tc>
      </w:tr>
    </w:tbl>
    <w:p w:rsidR="00396821" w:rsidRPr="009E10CF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:rsidR="00D63FD8" w:rsidRPr="00D63FD8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0C63C9">
        <w:rPr>
          <w:rFonts w:ascii="Sylfaen" w:hAnsi="Sylfaen"/>
          <w:lang w:val="ka-GE"/>
        </w:rPr>
        <w:t>202</w:t>
      </w:r>
      <w:r w:rsidR="00180F87">
        <w:rPr>
          <w:rFonts w:ascii="Sylfaen" w:hAnsi="Sylfaen"/>
        </w:rPr>
        <w:t>2</w:t>
      </w:r>
      <w:r w:rsidRPr="000C63C9">
        <w:rPr>
          <w:lang w:val="ka-GE"/>
        </w:rPr>
        <w:t xml:space="preserve"> </w:t>
      </w:r>
      <w:proofErr w:type="spellStart"/>
      <w:r w:rsidRPr="000C63C9">
        <w:rPr>
          <w:rFonts w:ascii="Sylfaen" w:hAnsi="Sylfaen" w:cs="Sylfaen"/>
        </w:rPr>
        <w:t>წლის</w:t>
      </w:r>
      <w:proofErr w:type="spellEnd"/>
      <w:r w:rsidRPr="000C63C9">
        <w:t xml:space="preserve"> </w:t>
      </w:r>
      <w:proofErr w:type="spellStart"/>
      <w:r w:rsidRPr="000C63C9">
        <w:rPr>
          <w:rFonts w:ascii="Sylfaen" w:hAnsi="Sylfaen" w:cs="Sylfaen"/>
        </w:rPr>
        <w:t>სა</w:t>
      </w:r>
      <w:r w:rsidRPr="00D63FD8">
        <w:rPr>
          <w:rFonts w:ascii="Sylfaen" w:hAnsi="Sylfaen" w:cs="Sylfaen"/>
        </w:rPr>
        <w:t>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ბიუჯეტის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პროექტი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ითვალისწინებს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="00103D04" w:rsidRPr="00D63FD8">
        <w:rPr>
          <w:rFonts w:ascii="Sylfaen" w:hAnsi="Sylfaen"/>
        </w:rPr>
        <w:t>სახაზინო</w:t>
      </w:r>
      <w:proofErr w:type="spellEnd"/>
      <w:r w:rsidR="00103D04" w:rsidRPr="00D63FD8">
        <w:rPr>
          <w:rFonts w:ascii="Sylfaen" w:hAnsi="Sylfaen"/>
        </w:rPr>
        <w:t xml:space="preserve"> </w:t>
      </w:r>
      <w:proofErr w:type="spellStart"/>
      <w:r w:rsidR="00103D04" w:rsidRPr="00D63FD8">
        <w:rPr>
          <w:rFonts w:ascii="Sylfaen" w:hAnsi="Sylfaen"/>
        </w:rPr>
        <w:t>ვალდებულებებისა</w:t>
      </w:r>
      <w:proofErr w:type="spellEnd"/>
      <w:r w:rsidR="00103D04" w:rsidRPr="00D63FD8">
        <w:rPr>
          <w:rFonts w:ascii="Sylfaen" w:hAnsi="Sylfaen"/>
        </w:rPr>
        <w:t xml:space="preserve"> </w:t>
      </w:r>
      <w:proofErr w:type="spellStart"/>
      <w:r w:rsidR="00103D04" w:rsidRPr="00D63FD8">
        <w:rPr>
          <w:rFonts w:ascii="Sylfaen" w:hAnsi="Sylfaen"/>
        </w:rPr>
        <w:t>და</w:t>
      </w:r>
      <w:proofErr w:type="spellEnd"/>
      <w:r w:rsidR="00103D04" w:rsidRPr="00D63FD8">
        <w:rPr>
          <w:rFonts w:ascii="Sylfaen" w:hAnsi="Sylfaen"/>
        </w:rPr>
        <w:t xml:space="preserve"> </w:t>
      </w:r>
      <w:proofErr w:type="spellStart"/>
      <w:r w:rsidR="00103D04" w:rsidRPr="00D63FD8">
        <w:rPr>
          <w:rFonts w:ascii="Sylfaen" w:hAnsi="Sylfaen"/>
        </w:rPr>
        <w:t>სახაზინო</w:t>
      </w:r>
      <w:proofErr w:type="spellEnd"/>
      <w:r w:rsidR="00103D04" w:rsidRPr="00D63FD8">
        <w:rPr>
          <w:rFonts w:ascii="Sylfaen" w:hAnsi="Sylfaen"/>
        </w:rPr>
        <w:t xml:space="preserve"> </w:t>
      </w:r>
      <w:proofErr w:type="spellStart"/>
      <w:r w:rsidR="00103D04" w:rsidRPr="00D63FD8">
        <w:rPr>
          <w:rFonts w:ascii="Sylfaen" w:hAnsi="Sylfaen"/>
        </w:rPr>
        <w:t>ობლიგაციების</w:t>
      </w:r>
      <w:proofErr w:type="spellEnd"/>
      <w:r w:rsidR="00103D04" w:rsidRPr="00D63FD8">
        <w:rPr>
          <w:rFonts w:ascii="Sylfaen" w:hAnsi="Sylfaen"/>
        </w:rPr>
        <w:t xml:space="preserve"> </w:t>
      </w:r>
      <w:r w:rsidR="008170FC" w:rsidRPr="00D63FD8">
        <w:rPr>
          <w:rFonts w:ascii="Sylfaen" w:hAnsi="Sylfaen"/>
          <w:lang w:val="ka-GE"/>
        </w:rPr>
        <w:t xml:space="preserve">საპროგნოზო </w:t>
      </w:r>
      <w:proofErr w:type="spellStart"/>
      <w:r w:rsidR="00103D04" w:rsidRPr="00D63FD8">
        <w:rPr>
          <w:rFonts w:ascii="Sylfaen" w:hAnsi="Sylfaen"/>
        </w:rPr>
        <w:t>გამოშვებ</w:t>
      </w:r>
      <w:proofErr w:type="spellEnd"/>
      <w:r w:rsidR="00103D04" w:rsidRPr="00D63FD8">
        <w:rPr>
          <w:rFonts w:ascii="Sylfaen" w:hAnsi="Sylfaen"/>
          <w:lang w:val="ka-GE"/>
        </w:rPr>
        <w:t>ას 2 850 000.0 ათასი ლარის ოდენობით</w:t>
      </w:r>
      <w:r w:rsidR="00D63FD8">
        <w:rPr>
          <w:rFonts w:ascii="Sylfaen" w:hAnsi="Sylfaen"/>
          <w:lang w:val="ka-GE"/>
        </w:rPr>
        <w:t xml:space="preserve"> და</w:t>
      </w:r>
      <w:r w:rsidR="00103D04" w:rsidRPr="00D63FD8">
        <w:rPr>
          <w:rFonts w:ascii="Sylfaen" w:hAnsi="Sylfaen"/>
          <w:lang w:val="ka-GE"/>
        </w:rPr>
        <w:t xml:space="preserve"> </w:t>
      </w:r>
      <w:proofErr w:type="spellStart"/>
      <w:r w:rsidRPr="00D63FD8">
        <w:rPr>
          <w:rFonts w:ascii="Sylfaen" w:hAnsi="Sylfaen" w:cs="Sylfaen"/>
        </w:rPr>
        <w:t>საშინაო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ვალდებულებების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მოსალოდნელ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კლებას</w:t>
      </w:r>
      <w:proofErr w:type="spellEnd"/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/>
          <w:lang w:val="ka-GE"/>
        </w:rPr>
        <w:t xml:space="preserve">1 </w:t>
      </w:r>
      <w:r w:rsidR="008170FC" w:rsidRPr="00D63FD8">
        <w:rPr>
          <w:rFonts w:ascii="Sylfaen" w:hAnsi="Sylfaen"/>
        </w:rPr>
        <w:t>5</w:t>
      </w:r>
      <w:r w:rsidR="008170FC" w:rsidRPr="00D63FD8">
        <w:rPr>
          <w:rFonts w:ascii="Sylfaen" w:hAnsi="Sylfaen"/>
          <w:lang w:val="ka-GE"/>
        </w:rPr>
        <w:t>5</w:t>
      </w:r>
      <w:r w:rsidR="008170FC" w:rsidRPr="00D63FD8">
        <w:rPr>
          <w:rFonts w:ascii="Sylfaen" w:hAnsi="Sylfaen"/>
        </w:rPr>
        <w:t>0</w:t>
      </w:r>
      <w:r w:rsidR="008170FC" w:rsidRPr="00D63FD8">
        <w:rPr>
          <w:rFonts w:ascii="Sylfaen" w:hAnsi="Sylfaen"/>
          <w:lang w:val="ka-GE"/>
        </w:rPr>
        <w:t xml:space="preserve"> </w:t>
      </w:r>
      <w:r w:rsidRPr="00D63FD8">
        <w:rPr>
          <w:rFonts w:ascii="Sylfaen" w:hAnsi="Sylfaen"/>
          <w:lang w:val="ka-GE"/>
        </w:rPr>
        <w:t>000</w:t>
      </w:r>
      <w:r w:rsidRPr="00D63FD8">
        <w:rPr>
          <w:rFonts w:ascii="Sylfaen" w:hAnsi="Sylfaen"/>
        </w:rPr>
        <w:t xml:space="preserve">.0 </w:t>
      </w:r>
      <w:proofErr w:type="spellStart"/>
      <w:r w:rsidRPr="00D63FD8">
        <w:rPr>
          <w:rFonts w:ascii="Sylfaen" w:hAnsi="Sylfaen" w:cs="Sylfaen"/>
        </w:rPr>
        <w:t>ათასი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ლარის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ოდენობით</w:t>
      </w:r>
      <w:proofErr w:type="spellEnd"/>
      <w:r w:rsidR="008170FC" w:rsidRPr="00D63FD8">
        <w:rPr>
          <w:rFonts w:ascii="Sylfaen" w:hAnsi="Sylfaen"/>
          <w:lang w:val="ka-GE"/>
        </w:rPr>
        <w:t>. შესაბამისად, 2022 წლის ბოლოს მდგო</w:t>
      </w:r>
      <w:r w:rsidR="00D63FD8">
        <w:rPr>
          <w:rFonts w:ascii="Sylfaen" w:hAnsi="Sylfaen"/>
          <w:lang w:val="ka-GE"/>
        </w:rPr>
        <w:t>მ</w:t>
      </w:r>
      <w:r w:rsidR="008170FC" w:rsidRPr="00D63FD8">
        <w:rPr>
          <w:rFonts w:ascii="Sylfaen" w:hAnsi="Sylfaen"/>
          <w:lang w:val="ka-GE"/>
        </w:rPr>
        <w:t>არეობით საშინაო ვალდებულებების წმინდა ზრდის საპროგნოზო მაჩვენებელი შეადგენს 1 300 000.0 ათას ლარს (2 850 000.0 – 1 5</w:t>
      </w:r>
      <w:r w:rsidR="00CD6196">
        <w:rPr>
          <w:rFonts w:ascii="Sylfaen" w:hAnsi="Sylfaen"/>
        </w:rPr>
        <w:t>5</w:t>
      </w:r>
      <w:r w:rsidR="008170FC" w:rsidRPr="00D63FD8">
        <w:rPr>
          <w:rFonts w:ascii="Sylfaen" w:hAnsi="Sylfaen"/>
          <w:lang w:val="ka-GE"/>
        </w:rPr>
        <w:t>0 000.0</w:t>
      </w:r>
      <w:r w:rsidR="00D63FD8" w:rsidRPr="00D63FD8">
        <w:rPr>
          <w:rFonts w:ascii="Sylfaen" w:hAnsi="Sylfaen"/>
          <w:lang w:val="ka-GE"/>
        </w:rPr>
        <w:t>).</w:t>
      </w:r>
    </w:p>
    <w:p w:rsidR="00B404A9" w:rsidRPr="008739E5" w:rsidRDefault="00D63FD8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63FD8">
        <w:rPr>
          <w:rFonts w:ascii="Sylfaen" w:hAnsi="Sylfaen"/>
          <w:lang w:val="ka-GE"/>
        </w:rPr>
        <w:t xml:space="preserve">2022 წლის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ბიუჯეტის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პროექტი</w:t>
      </w:r>
      <w:proofErr w:type="spellEnd"/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/>
          <w:lang w:val="ka-GE"/>
        </w:rPr>
        <w:t xml:space="preserve">ასევე </w:t>
      </w:r>
      <w:proofErr w:type="spellStart"/>
      <w:r w:rsidRPr="00D63FD8">
        <w:rPr>
          <w:rFonts w:ascii="Sylfaen" w:hAnsi="Sylfaen" w:cs="Sylfaen"/>
        </w:rPr>
        <w:t>ითვალისწინებს</w:t>
      </w:r>
      <w:proofErr w:type="spellEnd"/>
      <w:r w:rsidRPr="00D63FD8">
        <w:rPr>
          <w:rFonts w:ascii="Sylfaen" w:hAnsi="Sylfaen" w:cs="Sylfaen"/>
          <w:lang w:val="ka-GE"/>
        </w:rPr>
        <w:t xml:space="preserve">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ობლიგაციების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ძირითადი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თანხის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დაფარვას</w:t>
      </w:r>
      <w:proofErr w:type="spellEnd"/>
      <w:r w:rsidRPr="00D63FD8">
        <w:rPr>
          <w:rFonts w:ascii="Sylfaen" w:hAnsi="Sylfaen"/>
        </w:rPr>
        <w:t xml:space="preserve"> (</w:t>
      </w:r>
      <w:proofErr w:type="spellStart"/>
      <w:r w:rsidRPr="00D63FD8">
        <w:rPr>
          <w:rFonts w:ascii="Sylfaen" w:hAnsi="Sylfaen" w:cs="Sylfaen"/>
        </w:rPr>
        <w:t>სებ</w:t>
      </w:r>
      <w:r w:rsidRPr="00D63FD8">
        <w:rPr>
          <w:rFonts w:ascii="Sylfaen" w:hAnsi="Sylfaen"/>
        </w:rPr>
        <w:t>-</w:t>
      </w:r>
      <w:r w:rsidRPr="00D63FD8">
        <w:rPr>
          <w:rFonts w:ascii="Sylfaen" w:hAnsi="Sylfaen" w:cs="Sylfaen"/>
        </w:rPr>
        <w:t>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მიმართ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ვალი</w:t>
      </w:r>
      <w:proofErr w:type="spellEnd"/>
      <w:r w:rsidRPr="00D63FD8">
        <w:rPr>
          <w:rFonts w:ascii="Sylfaen" w:hAnsi="Sylfaen"/>
        </w:rPr>
        <w:t xml:space="preserve">) – </w:t>
      </w:r>
      <w:r w:rsidRPr="00D63FD8">
        <w:rPr>
          <w:rFonts w:ascii="Sylfaen" w:hAnsi="Sylfaen"/>
          <w:lang w:val="ka-GE"/>
        </w:rPr>
        <w:t>40 000</w:t>
      </w:r>
      <w:r w:rsidRPr="00D63FD8">
        <w:rPr>
          <w:rFonts w:ascii="Sylfaen" w:hAnsi="Sylfaen"/>
        </w:rPr>
        <w:t xml:space="preserve">.0 </w:t>
      </w:r>
      <w:proofErr w:type="spellStart"/>
      <w:r w:rsidRPr="00D63FD8">
        <w:rPr>
          <w:rFonts w:ascii="Sylfaen" w:hAnsi="Sylfaen" w:cs="Sylfaen"/>
        </w:rPr>
        <w:t>ათასი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ლარის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ოდენობით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="00B404A9" w:rsidRPr="00D63FD8">
        <w:rPr>
          <w:rFonts w:ascii="Sylfaen" w:hAnsi="Sylfaen" w:cs="Sylfaen"/>
        </w:rPr>
        <w:t>საქართველოს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მთავრობის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და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საქართველოს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ეროვნული</w:t>
      </w:r>
      <w:proofErr w:type="spellEnd"/>
      <w:r w:rsidR="00B404A9" w:rsidRPr="008739E5">
        <w:t xml:space="preserve"> </w:t>
      </w:r>
      <w:r w:rsidR="00B404A9" w:rsidRPr="00041224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დაფარვის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lastRenderedPageBreak/>
        <w:t>ღონისძიებების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შესახებ</w:t>
      </w:r>
      <w:proofErr w:type="spellEnd"/>
      <w:r w:rsidR="00B404A9" w:rsidRPr="008739E5">
        <w:t xml:space="preserve">“ </w:t>
      </w:r>
      <w:r w:rsidR="00B404A9" w:rsidRPr="00041224">
        <w:rPr>
          <w:rFonts w:ascii="Sylfaen" w:hAnsi="Sylfaen"/>
          <w:lang w:val="ka-GE"/>
        </w:rPr>
        <w:t>2006 წლის 20 მარტის</w:t>
      </w:r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შეთანხმებაში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ცვლილებების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შეტანის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თაობაზე</w:t>
      </w:r>
      <w:proofErr w:type="spellEnd"/>
      <w:r w:rsidR="00B404A9" w:rsidRPr="008739E5">
        <w:t xml:space="preserve">“ </w:t>
      </w:r>
      <w:proofErr w:type="spellStart"/>
      <w:r w:rsidR="00B404A9" w:rsidRPr="008739E5">
        <w:rPr>
          <w:rFonts w:ascii="Sylfaen" w:hAnsi="Sylfaen" w:cs="Sylfaen"/>
        </w:rPr>
        <w:t>შეთანხმების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შესაბამისად</w:t>
      </w:r>
      <w:proofErr w:type="spellEnd"/>
      <w:r w:rsidR="00B404A9" w:rsidRPr="008739E5">
        <w:t xml:space="preserve">. </w:t>
      </w:r>
    </w:p>
    <w:p w:rsidR="00C50CA0" w:rsidRPr="00C50CA0" w:rsidRDefault="002A01C6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>
        <w:rPr>
          <w:rFonts w:ascii="Sylfaen" w:hAnsi="Sylfaen" w:cs="Sylfaen"/>
          <w:szCs w:val="21"/>
          <w:shd w:val="clear" w:color="auto" w:fill="FFFFFF"/>
        </w:rPr>
        <w:t>2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proofErr w:type="spellStart"/>
      <w:r w:rsidRPr="00C50CA0">
        <w:rPr>
          <w:rFonts w:ascii="Sylfaen" w:hAnsi="Sylfaen" w:cs="Sylfaen"/>
        </w:rPr>
        <w:t>სახელმწიფო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ბიუჯეტის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პროექტით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გათვალისწინებულია</w:t>
      </w:r>
      <w:proofErr w:type="spellEnd"/>
      <w:r w:rsidRPr="00C50CA0">
        <w:rPr>
          <w:rFonts w:ascii="Sylfaen" w:hAnsi="Sylfaen" w:cs="Sylfaen"/>
        </w:rPr>
        <w:t xml:space="preserve"> 525 000.0 </w:t>
      </w:r>
      <w:proofErr w:type="spellStart"/>
      <w:r w:rsidRPr="00C50CA0">
        <w:rPr>
          <w:rFonts w:ascii="Sylfaen" w:hAnsi="Sylfaen" w:cs="Sylfaen"/>
        </w:rPr>
        <w:t>ათასი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ლარი</w:t>
      </w:r>
      <w:proofErr w:type="spellEnd"/>
      <w:r w:rsidRPr="00C50CA0">
        <w:rPr>
          <w:rFonts w:ascii="Sylfaen" w:hAnsi="Sylfaen" w:cs="Sylfaen"/>
        </w:rPr>
        <w:t>.</w:t>
      </w:r>
    </w:p>
    <w:p w:rsidR="00B404A9" w:rsidRDefault="00B404A9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C50CA0">
        <w:rPr>
          <w:rFonts w:ascii="Sylfaen" w:hAnsi="Sylfaen" w:cs="Sylfaen"/>
        </w:rPr>
        <w:t>202</w:t>
      </w:r>
      <w:r w:rsidR="002A01C6" w:rsidRPr="00C50CA0">
        <w:rPr>
          <w:rFonts w:ascii="Sylfaen" w:hAnsi="Sylfaen" w:cs="Sylfaen"/>
        </w:rPr>
        <w:t>2</w:t>
      </w:r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კანონის</w:t>
      </w:r>
      <w:proofErr w:type="spellEnd"/>
      <w:r w:rsidRPr="008739E5">
        <w:t xml:space="preserve"> </w:t>
      </w:r>
      <w:r w:rsidR="00D82730">
        <w:rPr>
          <w:rFonts w:ascii="Sylfaen" w:hAnsi="Sylfaen"/>
          <w:lang w:val="ka-GE"/>
        </w:rPr>
        <w:t xml:space="preserve">ცვლილების </w:t>
      </w:r>
      <w:proofErr w:type="spellStart"/>
      <w:r w:rsidRPr="008739E5">
        <w:rPr>
          <w:rFonts w:ascii="Sylfaen" w:hAnsi="Sylfaen" w:cs="Sylfaen"/>
        </w:rPr>
        <w:t>პროექტით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განსაზღვრული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საგარეო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პარამეტრები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უზრუნველყოფენ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მდგრადობის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შენარჩუნებას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საშუალოვადიან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პერიოდში</w:t>
      </w:r>
      <w:proofErr w:type="spellEnd"/>
      <w:r w:rsidRPr="008739E5">
        <w:rPr>
          <w:rFonts w:ascii="Sylfaen" w:hAnsi="Sylfaen" w:cs="Sylfaen"/>
          <w:lang w:val="ka-GE"/>
        </w:rPr>
        <w:t>.</w:t>
      </w:r>
    </w:p>
    <w:p w:rsidR="00396821" w:rsidRPr="00B73E97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FE1A0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2A01C6">
        <w:rPr>
          <w:rFonts w:ascii="Sylfaen" w:hAnsi="Sylfaen"/>
          <w:b/>
        </w:rPr>
        <w:t>2</w:t>
      </w:r>
      <w:r w:rsidRPr="00B73E97">
        <w:rPr>
          <w:rFonts w:ascii="Sylfaen" w:hAnsi="Sylfaen"/>
          <w:b/>
          <w:lang w:val="ka-GE"/>
        </w:rPr>
        <w:t xml:space="preserve"> წლის ბოლოსთვის</w:t>
      </w:r>
    </w:p>
    <w:p w:rsidR="00BB0398" w:rsidRDefault="00BB0398" w:rsidP="00484C3A">
      <w:pPr>
        <w:tabs>
          <w:tab w:val="left" w:pos="720"/>
          <w:tab w:val="left" w:pos="7371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BB0398" w:rsidRPr="00BB0398" w:rsidRDefault="00BB0398" w:rsidP="00E8165B">
      <w:pPr>
        <w:tabs>
          <w:tab w:val="left" w:pos="720"/>
        </w:tabs>
        <w:spacing w:after="0" w:line="240" w:lineRule="auto"/>
        <w:ind w:right="333"/>
        <w:jc w:val="right"/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i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        </w:t>
      </w:r>
      <w:r w:rsidRPr="00BB0398">
        <w:rPr>
          <w:rFonts w:ascii="Sylfaen" w:hAnsi="Sylfaen"/>
          <w:b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18"/>
        <w:gridCol w:w="2025"/>
      </w:tblGrid>
      <w:tr w:rsidR="00CE433A" w:rsidRPr="003F0E4D" w:rsidTr="003F0E4D">
        <w:trPr>
          <w:trHeight w:val="113"/>
          <w:tblHeader/>
          <w:jc w:val="center"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RANGE!C3:D44"/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საპროგნოზო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31.12.2022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ზღვრული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26,644,371.3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19,461,977.1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6,637,250.9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სოფლის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ფონდი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133,640.8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ფონდი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650,262.1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1,022,815.5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ka-GE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აზიის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6,815,568.9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3,001,450.6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485,875.6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აზიის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668,473.8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38,435.3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გარემოსდაცვის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8,203.5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5,619,250.9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48,689.5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10,102.1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658.1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19,670.7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7,368.7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69,051.0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8,911.3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ყაზახეთი</w:t>
            </w:r>
            <w:bookmarkStart w:id="1" w:name="_GoBack"/>
            <w:bookmarkEnd w:id="1"/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10,988.7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2,116,206.3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587,506.0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57,970.3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243.4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ამერიკა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33,863.8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2,648,021.1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1,558,950.0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1,558,950.0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გარანტიით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4,193.3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4,193.3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7,091,296.6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120,846.0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ვადის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ღია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ბაზრის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152,000.0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610,520.4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6,181,930.3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სესხის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სახით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არსებულ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ვალი</w:t>
            </w:r>
            <w:proofErr w:type="spellEnd"/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26,000.0</w:t>
            </w:r>
          </w:p>
        </w:tc>
      </w:tr>
      <w:tr w:rsidR="00CE433A" w:rsidRPr="003F0E4D" w:rsidTr="003F0E4D">
        <w:trPr>
          <w:trHeight w:val="113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E4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E433A" w:rsidRPr="003F0E4D" w:rsidRDefault="00CE433A" w:rsidP="00CE4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33,735,667.9</w:t>
            </w:r>
          </w:p>
        </w:tc>
      </w:tr>
    </w:tbl>
    <w:p w:rsidR="00B93A56" w:rsidRDefault="00B93A56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:rsidR="005406F9" w:rsidRDefault="005406F9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:rsidR="005406F9" w:rsidRPr="00E8165B" w:rsidRDefault="005406F9" w:rsidP="00E8165B">
      <w:pPr>
        <w:spacing w:after="0" w:line="240" w:lineRule="auto"/>
        <w:ind w:right="243"/>
        <w:jc w:val="both"/>
        <w:rPr>
          <w:rFonts w:ascii="Sylfaen" w:hAnsi="Sylfaen"/>
          <w:sz w:val="16"/>
          <w:szCs w:val="16"/>
        </w:rPr>
      </w:pPr>
      <w:r w:rsidRPr="005406F9">
        <w:rPr>
          <w:rFonts w:ascii="Sylfaen" w:hAnsi="Sylfaen"/>
          <w:sz w:val="16"/>
          <w:szCs w:val="16"/>
          <w:lang w:val="ka-GE"/>
        </w:rPr>
        <w:t xml:space="preserve"> გამოთვლისას გამოყენებულია გაცვლითი კურსი (2021 წლის 24 სექტემბრის მდგომარეობით):  1 EUR = 3.6532 GEL; 1 SDR = 4.4236 GEL; 10 CNY = 4.8281 GEL; 100 JPY = 2.8378 GEL; 1 KWD = 10.3585 GEL; 1 USD = 3.1179 GEL.</w:t>
      </w:r>
    </w:p>
    <w:p w:rsidR="00FB7087" w:rsidRPr="00B73E97" w:rsidRDefault="00484C3A" w:rsidP="003B0642">
      <w:pPr>
        <w:spacing w:after="0" w:line="240" w:lineRule="auto"/>
        <w:jc w:val="right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>
        <w:rPr>
          <w:rFonts w:ascii="Sylfaen" w:hAnsi="Sylfaen"/>
          <w:b/>
          <w:i/>
          <w:noProof/>
          <w:color w:val="000000"/>
          <w:sz w:val="18"/>
          <w:szCs w:val="18"/>
        </w:rPr>
        <w:br w:type="textWrapping" w:clear="all"/>
      </w:r>
      <w:r w:rsidR="00AD59D0" w:rsidRPr="00B73E97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53506B" w:rsidRPr="00B73E97" w:rsidRDefault="0053506B" w:rsidP="00484C3A">
      <w:pPr>
        <w:spacing w:after="0" w:line="240" w:lineRule="auto"/>
        <w:rPr>
          <w:rFonts w:ascii="Sylfaen" w:hAnsi="Sylfaen" w:cs="Sylfaen"/>
          <w:color w:val="FF0000"/>
          <w:sz w:val="18"/>
        </w:rPr>
      </w:pPr>
    </w:p>
    <w:sectPr w:rsidR="0053506B" w:rsidRPr="00B73E97" w:rsidSect="00F663AC">
      <w:footerReference w:type="default" r:id="rId11"/>
      <w:footerReference w:type="first" r:id="rId12"/>
      <w:pgSz w:w="11907" w:h="16839" w:code="9"/>
      <w:pgMar w:top="426" w:right="1134" w:bottom="1134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3B" w:rsidRDefault="003E323B" w:rsidP="00400BED">
      <w:pPr>
        <w:spacing w:after="0" w:line="240" w:lineRule="auto"/>
      </w:pPr>
      <w:r>
        <w:separator/>
      </w:r>
    </w:p>
  </w:endnote>
  <w:endnote w:type="continuationSeparator" w:id="0">
    <w:p w:rsidR="003E323B" w:rsidRDefault="003E323B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74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3AC" w:rsidRDefault="00F663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63AC" w:rsidRDefault="00F66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97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CA0" w:rsidRDefault="00C50C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CA0" w:rsidRDefault="00C50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3B" w:rsidRDefault="003E323B" w:rsidP="00400BED">
      <w:pPr>
        <w:spacing w:after="0" w:line="240" w:lineRule="auto"/>
      </w:pPr>
      <w:r>
        <w:separator/>
      </w:r>
    </w:p>
  </w:footnote>
  <w:footnote w:type="continuationSeparator" w:id="0">
    <w:p w:rsidR="003E323B" w:rsidRDefault="003E323B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50EF1"/>
    <w:rsid w:val="0005462B"/>
    <w:rsid w:val="00054AB0"/>
    <w:rsid w:val="00057593"/>
    <w:rsid w:val="00063126"/>
    <w:rsid w:val="00064717"/>
    <w:rsid w:val="00065901"/>
    <w:rsid w:val="00065AD3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05E4"/>
    <w:rsid w:val="000A1240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FD3"/>
    <w:rsid w:val="00102D0F"/>
    <w:rsid w:val="00103D04"/>
    <w:rsid w:val="001055DA"/>
    <w:rsid w:val="00107030"/>
    <w:rsid w:val="00110A1B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1C5B"/>
    <w:rsid w:val="00153061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A4349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0A51"/>
    <w:rsid w:val="002D15C8"/>
    <w:rsid w:val="002D16E4"/>
    <w:rsid w:val="002D22B9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6CD"/>
    <w:rsid w:val="00317C22"/>
    <w:rsid w:val="00322857"/>
    <w:rsid w:val="0032483D"/>
    <w:rsid w:val="00325994"/>
    <w:rsid w:val="0032795B"/>
    <w:rsid w:val="003303AF"/>
    <w:rsid w:val="0033211A"/>
    <w:rsid w:val="00332B60"/>
    <w:rsid w:val="003351F0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65A49"/>
    <w:rsid w:val="00372A1B"/>
    <w:rsid w:val="00375F6E"/>
    <w:rsid w:val="00377B9F"/>
    <w:rsid w:val="003800EA"/>
    <w:rsid w:val="00382167"/>
    <w:rsid w:val="003838EC"/>
    <w:rsid w:val="00387352"/>
    <w:rsid w:val="0039166F"/>
    <w:rsid w:val="00395CE1"/>
    <w:rsid w:val="003967C1"/>
    <w:rsid w:val="00396821"/>
    <w:rsid w:val="003A07F4"/>
    <w:rsid w:val="003A0E81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323B"/>
    <w:rsid w:val="003E43A7"/>
    <w:rsid w:val="003E5A7C"/>
    <w:rsid w:val="003F0548"/>
    <w:rsid w:val="003F0E4D"/>
    <w:rsid w:val="003F208F"/>
    <w:rsid w:val="003F27BF"/>
    <w:rsid w:val="003F2860"/>
    <w:rsid w:val="003F3483"/>
    <w:rsid w:val="003F36B5"/>
    <w:rsid w:val="003F5CEB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1440"/>
    <w:rsid w:val="00421638"/>
    <w:rsid w:val="00424397"/>
    <w:rsid w:val="00425B8C"/>
    <w:rsid w:val="00425E7D"/>
    <w:rsid w:val="00426244"/>
    <w:rsid w:val="00427DC2"/>
    <w:rsid w:val="004324BD"/>
    <w:rsid w:val="00434625"/>
    <w:rsid w:val="00435096"/>
    <w:rsid w:val="00441218"/>
    <w:rsid w:val="0044178B"/>
    <w:rsid w:val="004439FD"/>
    <w:rsid w:val="00445CA6"/>
    <w:rsid w:val="004464CC"/>
    <w:rsid w:val="004572FA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FD9"/>
    <w:rsid w:val="00490B44"/>
    <w:rsid w:val="00493136"/>
    <w:rsid w:val="00496409"/>
    <w:rsid w:val="00497DE1"/>
    <w:rsid w:val="004A231E"/>
    <w:rsid w:val="004A3196"/>
    <w:rsid w:val="004A3DB0"/>
    <w:rsid w:val="004B0D09"/>
    <w:rsid w:val="004B1263"/>
    <w:rsid w:val="004B29BC"/>
    <w:rsid w:val="004B46E8"/>
    <w:rsid w:val="004B7573"/>
    <w:rsid w:val="004C0704"/>
    <w:rsid w:val="004C59A6"/>
    <w:rsid w:val="004D17A6"/>
    <w:rsid w:val="004D26F9"/>
    <w:rsid w:val="004D7B47"/>
    <w:rsid w:val="004E2497"/>
    <w:rsid w:val="004E3AB1"/>
    <w:rsid w:val="004E422E"/>
    <w:rsid w:val="004F2321"/>
    <w:rsid w:val="004F2417"/>
    <w:rsid w:val="004F5AB2"/>
    <w:rsid w:val="0050185A"/>
    <w:rsid w:val="00501E22"/>
    <w:rsid w:val="00510802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6160F"/>
    <w:rsid w:val="00562F98"/>
    <w:rsid w:val="00564957"/>
    <w:rsid w:val="00564C7D"/>
    <w:rsid w:val="00567ACE"/>
    <w:rsid w:val="00570728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90695"/>
    <w:rsid w:val="00591512"/>
    <w:rsid w:val="00594033"/>
    <w:rsid w:val="00595CEE"/>
    <w:rsid w:val="00596075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57A6F"/>
    <w:rsid w:val="00661B66"/>
    <w:rsid w:val="00663921"/>
    <w:rsid w:val="006663B1"/>
    <w:rsid w:val="00667DDB"/>
    <w:rsid w:val="006719E4"/>
    <w:rsid w:val="00673822"/>
    <w:rsid w:val="006776FE"/>
    <w:rsid w:val="0068034E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EFF"/>
    <w:rsid w:val="0069693A"/>
    <w:rsid w:val="00696AF7"/>
    <w:rsid w:val="006A0EC7"/>
    <w:rsid w:val="006A1932"/>
    <w:rsid w:val="006A1E01"/>
    <w:rsid w:val="006A3476"/>
    <w:rsid w:val="006A41DE"/>
    <w:rsid w:val="006A47A2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449DE"/>
    <w:rsid w:val="00746294"/>
    <w:rsid w:val="007464DB"/>
    <w:rsid w:val="00746651"/>
    <w:rsid w:val="00750BCA"/>
    <w:rsid w:val="0075480C"/>
    <w:rsid w:val="00754C45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56ED"/>
    <w:rsid w:val="007C7CC8"/>
    <w:rsid w:val="007D1B10"/>
    <w:rsid w:val="007D2DE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6F67"/>
    <w:rsid w:val="008170FC"/>
    <w:rsid w:val="00817C42"/>
    <w:rsid w:val="0082056D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9E5"/>
    <w:rsid w:val="00873FD3"/>
    <w:rsid w:val="0087661E"/>
    <w:rsid w:val="00880F7C"/>
    <w:rsid w:val="00881898"/>
    <w:rsid w:val="0088487C"/>
    <w:rsid w:val="00885C87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589D"/>
    <w:rsid w:val="008B5C79"/>
    <w:rsid w:val="008B76C9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790"/>
    <w:rsid w:val="009139F2"/>
    <w:rsid w:val="00914D8C"/>
    <w:rsid w:val="0091662B"/>
    <w:rsid w:val="009274F9"/>
    <w:rsid w:val="00927EE7"/>
    <w:rsid w:val="009330E5"/>
    <w:rsid w:val="009333B0"/>
    <w:rsid w:val="009335FA"/>
    <w:rsid w:val="00934B83"/>
    <w:rsid w:val="00935B87"/>
    <w:rsid w:val="00935F0A"/>
    <w:rsid w:val="009363B9"/>
    <w:rsid w:val="009377BC"/>
    <w:rsid w:val="00941504"/>
    <w:rsid w:val="009453D8"/>
    <w:rsid w:val="00945C13"/>
    <w:rsid w:val="009515B0"/>
    <w:rsid w:val="009531BC"/>
    <w:rsid w:val="0096271C"/>
    <w:rsid w:val="00963628"/>
    <w:rsid w:val="0096590B"/>
    <w:rsid w:val="009660A9"/>
    <w:rsid w:val="0096735A"/>
    <w:rsid w:val="009734FB"/>
    <w:rsid w:val="00975967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7661"/>
    <w:rsid w:val="009A1016"/>
    <w:rsid w:val="009A2872"/>
    <w:rsid w:val="009A5FAB"/>
    <w:rsid w:val="009A7187"/>
    <w:rsid w:val="009A78B3"/>
    <w:rsid w:val="009A7CFF"/>
    <w:rsid w:val="009B1B48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D40"/>
    <w:rsid w:val="009D253F"/>
    <w:rsid w:val="009D383C"/>
    <w:rsid w:val="009D5407"/>
    <w:rsid w:val="009D575E"/>
    <w:rsid w:val="009D66CB"/>
    <w:rsid w:val="009D6EA9"/>
    <w:rsid w:val="009D72B5"/>
    <w:rsid w:val="009D72DB"/>
    <w:rsid w:val="009E10CF"/>
    <w:rsid w:val="009E227F"/>
    <w:rsid w:val="009E33C4"/>
    <w:rsid w:val="009E49DA"/>
    <w:rsid w:val="009E5F2B"/>
    <w:rsid w:val="009F177E"/>
    <w:rsid w:val="009F1D79"/>
    <w:rsid w:val="009F31FB"/>
    <w:rsid w:val="009F6AC0"/>
    <w:rsid w:val="009F7E90"/>
    <w:rsid w:val="00A04E5E"/>
    <w:rsid w:val="00A07391"/>
    <w:rsid w:val="00A1081B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5DB"/>
    <w:rsid w:val="00A45EB8"/>
    <w:rsid w:val="00A473CD"/>
    <w:rsid w:val="00A50002"/>
    <w:rsid w:val="00A5293F"/>
    <w:rsid w:val="00A552F9"/>
    <w:rsid w:val="00A56E3B"/>
    <w:rsid w:val="00A57273"/>
    <w:rsid w:val="00A62747"/>
    <w:rsid w:val="00A6278E"/>
    <w:rsid w:val="00A63967"/>
    <w:rsid w:val="00A65964"/>
    <w:rsid w:val="00A67E3A"/>
    <w:rsid w:val="00A67F51"/>
    <w:rsid w:val="00A710EC"/>
    <w:rsid w:val="00A73AAA"/>
    <w:rsid w:val="00A74699"/>
    <w:rsid w:val="00A751B7"/>
    <w:rsid w:val="00A761DC"/>
    <w:rsid w:val="00A770D1"/>
    <w:rsid w:val="00A8306F"/>
    <w:rsid w:val="00A84E8C"/>
    <w:rsid w:val="00A84FE6"/>
    <w:rsid w:val="00A854D8"/>
    <w:rsid w:val="00A85818"/>
    <w:rsid w:val="00A87F14"/>
    <w:rsid w:val="00A90B92"/>
    <w:rsid w:val="00A90C44"/>
    <w:rsid w:val="00A91823"/>
    <w:rsid w:val="00A93CD1"/>
    <w:rsid w:val="00A95725"/>
    <w:rsid w:val="00AA1660"/>
    <w:rsid w:val="00AB099E"/>
    <w:rsid w:val="00AB0A72"/>
    <w:rsid w:val="00AB2633"/>
    <w:rsid w:val="00AB4534"/>
    <w:rsid w:val="00AB5A99"/>
    <w:rsid w:val="00AC1154"/>
    <w:rsid w:val="00AC1CC1"/>
    <w:rsid w:val="00AC21C9"/>
    <w:rsid w:val="00AC2209"/>
    <w:rsid w:val="00AC5A55"/>
    <w:rsid w:val="00AD0BC4"/>
    <w:rsid w:val="00AD2AF0"/>
    <w:rsid w:val="00AD2D43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801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3A56"/>
    <w:rsid w:val="00B94CDE"/>
    <w:rsid w:val="00B95192"/>
    <w:rsid w:val="00B95528"/>
    <w:rsid w:val="00BA297C"/>
    <w:rsid w:val="00BA6094"/>
    <w:rsid w:val="00BB0398"/>
    <w:rsid w:val="00BB2C5D"/>
    <w:rsid w:val="00BB4019"/>
    <w:rsid w:val="00BC132A"/>
    <w:rsid w:val="00BC168E"/>
    <w:rsid w:val="00BC505C"/>
    <w:rsid w:val="00BC5E24"/>
    <w:rsid w:val="00BC701E"/>
    <w:rsid w:val="00BC764D"/>
    <w:rsid w:val="00BC7F2B"/>
    <w:rsid w:val="00BD1D05"/>
    <w:rsid w:val="00BD1F4C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179A"/>
    <w:rsid w:val="00C0434C"/>
    <w:rsid w:val="00C0485E"/>
    <w:rsid w:val="00C04FBA"/>
    <w:rsid w:val="00C11D79"/>
    <w:rsid w:val="00C126E1"/>
    <w:rsid w:val="00C13117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44C6"/>
    <w:rsid w:val="00C6464F"/>
    <w:rsid w:val="00C66081"/>
    <w:rsid w:val="00C6765C"/>
    <w:rsid w:val="00C676F1"/>
    <w:rsid w:val="00C70518"/>
    <w:rsid w:val="00C73F59"/>
    <w:rsid w:val="00C74F29"/>
    <w:rsid w:val="00C757E0"/>
    <w:rsid w:val="00C75813"/>
    <w:rsid w:val="00C75C56"/>
    <w:rsid w:val="00C765DD"/>
    <w:rsid w:val="00C76853"/>
    <w:rsid w:val="00C80BCF"/>
    <w:rsid w:val="00C81C7D"/>
    <w:rsid w:val="00C90CBA"/>
    <w:rsid w:val="00C91918"/>
    <w:rsid w:val="00C92D73"/>
    <w:rsid w:val="00C9602D"/>
    <w:rsid w:val="00C969C1"/>
    <w:rsid w:val="00C9708E"/>
    <w:rsid w:val="00C97893"/>
    <w:rsid w:val="00C97F98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6196"/>
    <w:rsid w:val="00CD7C57"/>
    <w:rsid w:val="00CE327F"/>
    <w:rsid w:val="00CE433A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9764D"/>
    <w:rsid w:val="00DA27F4"/>
    <w:rsid w:val="00DA2E3F"/>
    <w:rsid w:val="00DA3080"/>
    <w:rsid w:val="00DA395D"/>
    <w:rsid w:val="00DA516E"/>
    <w:rsid w:val="00DA521E"/>
    <w:rsid w:val="00DA5694"/>
    <w:rsid w:val="00DB15D9"/>
    <w:rsid w:val="00DB1C54"/>
    <w:rsid w:val="00DB276F"/>
    <w:rsid w:val="00DB2B66"/>
    <w:rsid w:val="00DB30DF"/>
    <w:rsid w:val="00DB657D"/>
    <w:rsid w:val="00DC24F5"/>
    <w:rsid w:val="00DC3604"/>
    <w:rsid w:val="00DC574F"/>
    <w:rsid w:val="00DD2856"/>
    <w:rsid w:val="00DD69EE"/>
    <w:rsid w:val="00DE18E6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65DE"/>
    <w:rsid w:val="00E17E10"/>
    <w:rsid w:val="00E20D5F"/>
    <w:rsid w:val="00E224DE"/>
    <w:rsid w:val="00E2344B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32D"/>
    <w:rsid w:val="00E736E9"/>
    <w:rsid w:val="00E77771"/>
    <w:rsid w:val="00E8165B"/>
    <w:rsid w:val="00E81BCB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0590"/>
    <w:rsid w:val="00EF46D7"/>
    <w:rsid w:val="00EF57DF"/>
    <w:rsid w:val="00F003A7"/>
    <w:rsid w:val="00F01A27"/>
    <w:rsid w:val="00F07891"/>
    <w:rsid w:val="00F106FA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3AC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87E"/>
    <w:rsid w:val="00FA6ABC"/>
    <w:rsid w:val="00FA735A"/>
    <w:rsid w:val="00FA7488"/>
    <w:rsid w:val="00FA74FF"/>
    <w:rsid w:val="00FB01F8"/>
    <w:rsid w:val="00FB07AB"/>
    <w:rsid w:val="00FB3891"/>
    <w:rsid w:val="00FB7087"/>
    <w:rsid w:val="00FB723F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3548141632159754"/>
          <c:h val="0.8503996844953966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19%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59%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006752426295551"/>
                  <c:y val="-2.1195408006431628E-2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133522553866808"/>
                      <c:h val="0.2285350310940862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9.3904046877861191E-2"/>
                  <c:y val="-3.5971010380459198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61148751761"/>
                      <c:h val="0.14641235723912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52199750-D3D4-4EF5-B2FB-1221535734FC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CCA4667D-2301-4FC9-92CC-1995B007F7D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50%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A0EAEC30-4977-4293-B199-C1751B452A0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tx>
                <c:rich>
                  <a:bodyPr/>
                  <a:lstStyle/>
                  <a:p>
                    <a:fld id="{91897848-FE90-4144-9F93-24B4BFD9B6D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A409-8122-4A17-ABF2-16591363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5</cp:revision>
  <cp:lastPrinted>2021-09-30T15:57:00Z</cp:lastPrinted>
  <dcterms:created xsi:type="dcterms:W3CDTF">2021-09-30T15:19:00Z</dcterms:created>
  <dcterms:modified xsi:type="dcterms:W3CDTF">2021-09-30T16:09:00Z</dcterms:modified>
</cp:coreProperties>
</file>